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9F81" w14:textId="72C55CC2" w:rsidR="00BB17FE" w:rsidRDefault="00AE4D77" w:rsidP="00E93018">
      <w:pPr>
        <w:pStyle w:val="Heading1"/>
        <w:pBdr>
          <w:bottom w:val="single" w:sz="4" w:space="1" w:color="auto"/>
        </w:pBdr>
        <w:jc w:val="center"/>
      </w:pPr>
      <w:r>
        <w:t xml:space="preserve">Request for </w:t>
      </w:r>
      <w:r>
        <w:rPr>
          <w:i/>
          <w:iCs/>
        </w:rPr>
        <w:t xml:space="preserve">CME </w:t>
      </w:r>
      <w:r w:rsidRPr="00AE4D77">
        <w:rPr>
          <w:i/>
          <w:iCs/>
        </w:rPr>
        <w:t>Credit</w:t>
      </w:r>
      <w:r>
        <w:t xml:space="preserve"> </w:t>
      </w:r>
      <w:r w:rsidR="008F0922">
        <w:t>for Training on the Safe and Proper Use</w:t>
      </w:r>
      <w:r w:rsidR="00E93018">
        <w:br/>
      </w:r>
      <w:r w:rsidR="008F0922">
        <w:t>of a New System/Device</w:t>
      </w:r>
    </w:p>
    <w:p w14:paraId="18848281" w14:textId="77777777" w:rsidR="00E93018" w:rsidRPr="00E93018" w:rsidRDefault="00E93018" w:rsidP="00E93018"/>
    <w:p w14:paraId="7179E2D4" w14:textId="5C231BFB" w:rsidR="00F760FC" w:rsidRPr="00F760FC" w:rsidRDefault="00F760FC" w:rsidP="00F760FC">
      <w:r>
        <w:t xml:space="preserve">The following statements have been developed by the Accreditation Council for Continuing Medical Education (ACCME) for cases where equipment training will take place during courses approved by AdventHealth Orlando’s CPD Department for </w:t>
      </w:r>
      <w:r w:rsidRPr="0077501F">
        <w:rPr>
          <w:i/>
        </w:rPr>
        <w:t>AMA PRA Category 1 Credit</w:t>
      </w:r>
      <w:r w:rsidRPr="0077501F">
        <w:rPr>
          <w:rFonts w:cstheme="minorHAnsi"/>
          <w:i/>
        </w:rPr>
        <w:t>™</w:t>
      </w:r>
      <w:r>
        <w:rPr>
          <w:rFonts w:cstheme="minorHAnsi"/>
          <w:i/>
        </w:rPr>
        <w:t xml:space="preserve">.  </w:t>
      </w:r>
      <w:r>
        <w:rPr>
          <w:rFonts w:cstheme="minorHAnsi"/>
          <w:iCs/>
        </w:rPr>
        <w:t>These statements, taken together, provide a ‘special use’ clause that allows credit to be offered as long as providers review and remain committed to the ACCME’s Standards for Commercial Support.</w:t>
      </w:r>
    </w:p>
    <w:p w14:paraId="6461937B" w14:textId="49F5621F" w:rsidR="005D2435" w:rsidRDefault="00ED3D73" w:rsidP="00105152">
      <w:r>
        <w:rPr>
          <w:noProof/>
        </w:rPr>
        <mc:AlternateContent>
          <mc:Choice Requires="wps">
            <w:drawing>
              <wp:anchor distT="0" distB="0" distL="114300" distR="114300" simplePos="0" relativeHeight="251659264" behindDoc="0" locked="0" layoutInCell="1" allowOverlap="1" wp14:anchorId="3CA0799E" wp14:editId="61BA1295">
                <wp:simplePos x="0" y="0"/>
                <wp:positionH relativeFrom="column">
                  <wp:posOffset>737870</wp:posOffset>
                </wp:positionH>
                <wp:positionV relativeFrom="paragraph">
                  <wp:posOffset>47625</wp:posOffset>
                </wp:positionV>
                <wp:extent cx="6641465" cy="3010535"/>
                <wp:effectExtent l="0" t="0" r="26035" b="18415"/>
                <wp:wrapNone/>
                <wp:docPr id="1" name="Text Box 1"/>
                <wp:cNvGraphicFramePr/>
                <a:graphic xmlns:a="http://schemas.openxmlformats.org/drawingml/2006/main">
                  <a:graphicData uri="http://schemas.microsoft.com/office/word/2010/wordprocessingShape">
                    <wps:wsp>
                      <wps:cNvSpPr txBox="1"/>
                      <wps:spPr>
                        <a:xfrm>
                          <a:off x="0" y="0"/>
                          <a:ext cx="6641465" cy="3010535"/>
                        </a:xfrm>
                        <a:prstGeom prst="rect">
                          <a:avLst/>
                        </a:prstGeom>
                        <a:solidFill>
                          <a:srgbClr val="CDE7F1"/>
                        </a:solidFill>
                        <a:ln w="6350">
                          <a:solidFill>
                            <a:srgbClr val="B7F1F7"/>
                          </a:solidFill>
                        </a:ln>
                      </wps:spPr>
                      <wps:txbx>
                        <w:txbxContent>
                          <w:p w14:paraId="3FAD7B5C" w14:textId="04C6C34A" w:rsidR="006647AE" w:rsidRPr="00C337EA" w:rsidRDefault="006647AE" w:rsidP="00ED3D73">
                            <w:pPr>
                              <w:rPr>
                                <w:rFonts w:ascii="Times New Roman" w:hAnsi="Times New Roman" w:cs="Times New Roman"/>
                                <w:sz w:val="28"/>
                                <w:szCs w:val="28"/>
                              </w:rPr>
                            </w:pPr>
                            <w:r w:rsidRPr="00C337EA">
                              <w:rPr>
                                <w:rFonts w:ascii="Times New Roman" w:hAnsi="Times New Roman" w:cs="Times New Roman"/>
                                <w:color w:val="808080" w:themeColor="background1" w:themeShade="80"/>
                                <w:sz w:val="28"/>
                                <w:szCs w:val="28"/>
                              </w:rPr>
                              <w:t>Standards for Commercial Support Resources</w:t>
                            </w:r>
                          </w:p>
                          <w:p w14:paraId="14F523ED" w14:textId="1EC0FD9A" w:rsidR="006647AE" w:rsidRDefault="006647AE" w:rsidP="00ED3D73">
                            <w:pPr>
                              <w:rPr>
                                <w:rFonts w:ascii="Arial" w:hAnsi="Arial" w:cs="Arial"/>
                                <w:color w:val="767171" w:themeColor="background2" w:themeShade="80"/>
                              </w:rPr>
                            </w:pPr>
                            <w:r w:rsidRPr="00C337EA">
                              <w:rPr>
                                <w:rFonts w:ascii="Arial" w:hAnsi="Arial" w:cs="Arial"/>
                                <w:color w:val="767171" w:themeColor="background2" w:themeShade="80"/>
                              </w:rPr>
                              <w:t>All accredited CME providers in the ACCME System are responsible for complying with the Standards for Commercial Support and the policies that supplement the Standards.  Your compliance is essential for maintaining AdventHealth Orlando’s accreditation and for assuring the accountability of our system.</w:t>
                            </w:r>
                          </w:p>
                          <w:p w14:paraId="6CCDAF25" w14:textId="4FF6A727" w:rsidR="006647AE" w:rsidRDefault="006647AE" w:rsidP="00ED3D73">
                            <w:pPr>
                              <w:rPr>
                                <w:rFonts w:ascii="Arial" w:hAnsi="Arial" w:cs="Arial"/>
                                <w:color w:val="767171" w:themeColor="background2" w:themeShade="80"/>
                                <w:sz w:val="20"/>
                                <w:szCs w:val="20"/>
                              </w:rPr>
                            </w:pPr>
                            <w:r w:rsidRPr="000355BC">
                              <w:rPr>
                                <w:rFonts w:ascii="Arial" w:hAnsi="Arial" w:cs="Arial"/>
                                <w:i/>
                                <w:iCs/>
                                <w:color w:val="767171" w:themeColor="background2" w:themeShade="80"/>
                                <w:sz w:val="20"/>
                                <w:szCs w:val="20"/>
                              </w:rPr>
                              <w:t>The provider must be able to show that everyone who is in a position to control the content of an education activity has disclosed all relevant financial relationships with any commercial interest to the provider.</w:t>
                            </w:r>
                          </w:p>
                          <w:p w14:paraId="447756F0" w14:textId="55AA3C25" w:rsidR="005435E5" w:rsidRDefault="005435E5" w:rsidP="00ED3D73">
                            <w:pPr>
                              <w:rPr>
                                <w:rFonts w:ascii="Times New Roman" w:hAnsi="Times New Roman" w:cs="Times New Roman"/>
                                <w:color w:val="808080" w:themeColor="background1" w:themeShade="80"/>
                                <w:sz w:val="28"/>
                                <w:szCs w:val="28"/>
                              </w:rPr>
                            </w:pPr>
                            <w:r w:rsidRPr="00C337EA">
                              <w:rPr>
                                <w:rFonts w:ascii="Times New Roman" w:hAnsi="Times New Roman" w:cs="Times New Roman"/>
                                <w:color w:val="808080" w:themeColor="background1" w:themeShade="80"/>
                                <w:sz w:val="28"/>
                                <w:szCs w:val="28"/>
                              </w:rPr>
                              <w:t>Standard</w:t>
                            </w:r>
                            <w:r>
                              <w:rPr>
                                <w:rFonts w:ascii="Times New Roman" w:hAnsi="Times New Roman" w:cs="Times New Roman"/>
                                <w:color w:val="808080" w:themeColor="background1" w:themeShade="80"/>
                                <w:sz w:val="28"/>
                                <w:szCs w:val="28"/>
                              </w:rPr>
                              <w:t xml:space="preserve"> 1.1</w:t>
                            </w:r>
                          </w:p>
                          <w:p w14:paraId="7ED22D28" w14:textId="79E40EC3" w:rsidR="005435E5" w:rsidRPr="005435E5" w:rsidRDefault="005435E5" w:rsidP="00ED3D73">
                            <w:pPr>
                              <w:rPr>
                                <w:rFonts w:ascii="Arial" w:hAnsi="Arial" w:cs="Arial"/>
                                <w:color w:val="767171" w:themeColor="background2" w:themeShade="80"/>
                                <w:sz w:val="20"/>
                                <w:szCs w:val="20"/>
                              </w:rPr>
                            </w:pPr>
                            <w:r w:rsidRPr="00C337EA">
                              <w:rPr>
                                <w:rFonts w:ascii="Arial" w:hAnsi="Arial" w:cs="Arial"/>
                                <w:color w:val="767171" w:themeColor="background2" w:themeShade="80"/>
                              </w:rPr>
                              <w:t>A</w:t>
                            </w:r>
                            <w:r>
                              <w:rPr>
                                <w:rFonts w:ascii="Arial" w:hAnsi="Arial" w:cs="Arial"/>
                                <w:color w:val="767171" w:themeColor="background2" w:themeShade="80"/>
                              </w:rPr>
                              <w:t xml:space="preserve"> CME provider must ensure that the following decisions were made free of the control of a commercial interest.  (a) Identification of CME needs; (b) Determination of educational objectives; (c) Selection and presentation of content; (d) Selection of all persons and organizations that will be in a position to control the content of the CME; € Selection of educational methods; (f) Evaluation of the activity.</w:t>
                            </w:r>
                          </w:p>
                          <w:p w14:paraId="11751BCC" w14:textId="080CA269" w:rsidR="006647AE" w:rsidRPr="00E824FD" w:rsidRDefault="00ED3D73" w:rsidP="00ED3D73">
                            <w:pPr>
                              <w:rPr>
                                <w:rFonts w:ascii="Arial" w:hAnsi="Arial" w:cs="Arial"/>
                                <w:color w:val="767171" w:themeColor="background2" w:themeShade="80"/>
                                <w:sz w:val="16"/>
                                <w:szCs w:val="16"/>
                              </w:rPr>
                            </w:pPr>
                            <w:hyperlink r:id="rId7" w:history="1">
                              <w:r w:rsidR="006647AE" w:rsidRPr="00E824FD">
                                <w:rPr>
                                  <w:rStyle w:val="Hyperlink"/>
                                  <w:color w:val="767171" w:themeColor="background2" w:themeShade="80"/>
                                  <w:sz w:val="16"/>
                                  <w:szCs w:val="16"/>
                                </w:rPr>
                                <w:t>https://www.accme.org/faq/are-there-any-circumstances-when-employees-accme-defined-commercial-interests-can-be-position</w:t>
                              </w:r>
                            </w:hyperlink>
                          </w:p>
                          <w:p w14:paraId="1E8A6E7C" w14:textId="796F5A8F" w:rsidR="006647AE" w:rsidRPr="00E824FD" w:rsidRDefault="00ED3D73" w:rsidP="00ED3D73">
                            <w:pPr>
                              <w:rPr>
                                <w:rFonts w:cstheme="minorHAnsi"/>
                                <w:color w:val="767171" w:themeColor="background2" w:themeShade="80"/>
                                <w:sz w:val="16"/>
                                <w:szCs w:val="16"/>
                              </w:rPr>
                            </w:pPr>
                            <w:hyperlink r:id="rId8" w:history="1">
                              <w:r w:rsidR="006647AE" w:rsidRPr="00E824FD">
                                <w:rPr>
                                  <w:rStyle w:val="Hyperlink"/>
                                  <w:rFonts w:cstheme="minorHAnsi"/>
                                  <w:color w:val="767171" w:themeColor="background2" w:themeShade="80"/>
                                  <w:sz w:val="16"/>
                                  <w:szCs w:val="16"/>
                                </w:rPr>
                                <w:t>https://accme.org/accreditation-rules/standards-for-commercial-support/standard-2-resolution-personal-conflicts</w:t>
                              </w:r>
                            </w:hyperlink>
                          </w:p>
                          <w:p w14:paraId="5D5606D8" w14:textId="77777777" w:rsidR="006647AE" w:rsidRPr="00C337EA" w:rsidRDefault="006647AE" w:rsidP="00ED3D73">
                            <w:pPr>
                              <w:rPr>
                                <w:rFonts w:ascii="Arial" w:hAnsi="Arial" w:cs="Arial"/>
                                <w:color w:val="767171" w:themeColor="background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0799E" id="_x0000_t202" coordsize="21600,21600" o:spt="202" path="m,l,21600r21600,l21600,xe">
                <v:stroke joinstyle="miter"/>
                <v:path gradientshapeok="t" o:connecttype="rect"/>
              </v:shapetype>
              <v:shape id="Text Box 1" o:spid="_x0000_s1026" type="#_x0000_t202" style="position:absolute;margin-left:58.1pt;margin-top:3.75pt;width:522.95pt;height:2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" fillcolor="#cde7f1" strokecolor="#b7f1f7" strokeweight=".5pt">
                <v:textbox>
                  <w:txbxContent>
                    <w:p w14:paraId="3FAD7B5C" w14:textId="04C6C34A" w:rsidR="006647AE" w:rsidRPr="00C337EA" w:rsidRDefault="006647AE" w:rsidP="00ED3D73">
                      <w:pPr>
                        <w:rPr>
                          <w:rFonts w:ascii="Times New Roman" w:hAnsi="Times New Roman" w:cs="Times New Roman"/>
                          <w:sz w:val="28"/>
                          <w:szCs w:val="28"/>
                        </w:rPr>
                      </w:pPr>
                      <w:r w:rsidRPr="00C337EA">
                        <w:rPr>
                          <w:rFonts w:ascii="Times New Roman" w:hAnsi="Times New Roman" w:cs="Times New Roman"/>
                          <w:color w:val="808080" w:themeColor="background1" w:themeShade="80"/>
                          <w:sz w:val="28"/>
                          <w:szCs w:val="28"/>
                        </w:rPr>
                        <w:t>Standards for Commercial Support Resources</w:t>
                      </w:r>
                    </w:p>
                    <w:p w14:paraId="14F523ED" w14:textId="1EC0FD9A" w:rsidR="006647AE" w:rsidRDefault="006647AE" w:rsidP="00ED3D73">
                      <w:pPr>
                        <w:rPr>
                          <w:rFonts w:ascii="Arial" w:hAnsi="Arial" w:cs="Arial"/>
                          <w:color w:val="767171" w:themeColor="background2" w:themeShade="80"/>
                        </w:rPr>
                      </w:pPr>
                      <w:r w:rsidRPr="00C337EA">
                        <w:rPr>
                          <w:rFonts w:ascii="Arial" w:hAnsi="Arial" w:cs="Arial"/>
                          <w:color w:val="767171" w:themeColor="background2" w:themeShade="80"/>
                        </w:rPr>
                        <w:t>All accredited CME providers in the ACCME System are responsible for complying with the Standards for Commercial Support and the policies that supplement the Standards.  Your compliance is essential for maintaining AdventHealth Orlando’s accreditation and for assuring the accountability of our system.</w:t>
                      </w:r>
                    </w:p>
                    <w:p w14:paraId="6CCDAF25" w14:textId="4FF6A727" w:rsidR="006647AE" w:rsidRDefault="006647AE" w:rsidP="00ED3D73">
                      <w:pPr>
                        <w:rPr>
                          <w:rFonts w:ascii="Arial" w:hAnsi="Arial" w:cs="Arial"/>
                          <w:color w:val="767171" w:themeColor="background2" w:themeShade="80"/>
                          <w:sz w:val="20"/>
                          <w:szCs w:val="20"/>
                        </w:rPr>
                      </w:pPr>
                      <w:r w:rsidRPr="000355BC">
                        <w:rPr>
                          <w:rFonts w:ascii="Arial" w:hAnsi="Arial" w:cs="Arial"/>
                          <w:i/>
                          <w:iCs/>
                          <w:color w:val="767171" w:themeColor="background2" w:themeShade="80"/>
                          <w:sz w:val="20"/>
                          <w:szCs w:val="20"/>
                        </w:rPr>
                        <w:t>The provider must be able to show that everyone who is in a position to control the content of an education activity has disclosed all relevant financial relationships with any commercial interest to the provider.</w:t>
                      </w:r>
                    </w:p>
                    <w:p w14:paraId="447756F0" w14:textId="55AA3C25" w:rsidR="005435E5" w:rsidRDefault="005435E5" w:rsidP="00ED3D73">
                      <w:pPr>
                        <w:rPr>
                          <w:rFonts w:ascii="Times New Roman" w:hAnsi="Times New Roman" w:cs="Times New Roman"/>
                          <w:color w:val="808080" w:themeColor="background1" w:themeShade="80"/>
                          <w:sz w:val="28"/>
                          <w:szCs w:val="28"/>
                        </w:rPr>
                      </w:pPr>
                      <w:r w:rsidRPr="00C337EA">
                        <w:rPr>
                          <w:rFonts w:ascii="Times New Roman" w:hAnsi="Times New Roman" w:cs="Times New Roman"/>
                          <w:color w:val="808080" w:themeColor="background1" w:themeShade="80"/>
                          <w:sz w:val="28"/>
                          <w:szCs w:val="28"/>
                        </w:rPr>
                        <w:t>Standard</w:t>
                      </w:r>
                      <w:r>
                        <w:rPr>
                          <w:rFonts w:ascii="Times New Roman" w:hAnsi="Times New Roman" w:cs="Times New Roman"/>
                          <w:color w:val="808080" w:themeColor="background1" w:themeShade="80"/>
                          <w:sz w:val="28"/>
                          <w:szCs w:val="28"/>
                        </w:rPr>
                        <w:t xml:space="preserve"> 1.1</w:t>
                      </w:r>
                    </w:p>
                    <w:p w14:paraId="7ED22D28" w14:textId="79E40EC3" w:rsidR="005435E5" w:rsidRPr="005435E5" w:rsidRDefault="005435E5" w:rsidP="00ED3D73">
                      <w:pPr>
                        <w:rPr>
                          <w:rFonts w:ascii="Arial" w:hAnsi="Arial" w:cs="Arial"/>
                          <w:color w:val="767171" w:themeColor="background2" w:themeShade="80"/>
                          <w:sz w:val="20"/>
                          <w:szCs w:val="20"/>
                        </w:rPr>
                      </w:pPr>
                      <w:r w:rsidRPr="00C337EA">
                        <w:rPr>
                          <w:rFonts w:ascii="Arial" w:hAnsi="Arial" w:cs="Arial"/>
                          <w:color w:val="767171" w:themeColor="background2" w:themeShade="80"/>
                        </w:rPr>
                        <w:t>A</w:t>
                      </w:r>
                      <w:r>
                        <w:rPr>
                          <w:rFonts w:ascii="Arial" w:hAnsi="Arial" w:cs="Arial"/>
                          <w:color w:val="767171" w:themeColor="background2" w:themeShade="80"/>
                        </w:rPr>
                        <w:t xml:space="preserve"> CME provider must ensure that the following decisions were made free of the control of a commercial interest.  (a) Identification of CME needs; (b) Determination of educational objectives; (c) Selection and presentation of content; (d) Selection of all persons and organizations that will be in a position to control the content of the CME; € Selection of educational methods; (f) Evaluation of the activity.</w:t>
                      </w:r>
                    </w:p>
                    <w:p w14:paraId="11751BCC" w14:textId="080CA269" w:rsidR="006647AE" w:rsidRPr="00E824FD" w:rsidRDefault="00ED3D73" w:rsidP="00ED3D73">
                      <w:pPr>
                        <w:rPr>
                          <w:rFonts w:ascii="Arial" w:hAnsi="Arial" w:cs="Arial"/>
                          <w:color w:val="767171" w:themeColor="background2" w:themeShade="80"/>
                          <w:sz w:val="16"/>
                          <w:szCs w:val="16"/>
                        </w:rPr>
                      </w:pPr>
                      <w:hyperlink r:id="rId9" w:history="1">
                        <w:r w:rsidR="006647AE" w:rsidRPr="00E824FD">
                          <w:rPr>
                            <w:rStyle w:val="Hyperlink"/>
                            <w:color w:val="767171" w:themeColor="background2" w:themeShade="80"/>
                            <w:sz w:val="16"/>
                            <w:szCs w:val="16"/>
                          </w:rPr>
                          <w:t>https://www.accme.org/faq/are-there-any-circumstances-when-employees-accme-defined-commercial-interests-can-be-position</w:t>
                        </w:r>
                      </w:hyperlink>
                    </w:p>
                    <w:p w14:paraId="1E8A6E7C" w14:textId="796F5A8F" w:rsidR="006647AE" w:rsidRPr="00E824FD" w:rsidRDefault="00ED3D73" w:rsidP="00ED3D73">
                      <w:pPr>
                        <w:rPr>
                          <w:rFonts w:cstheme="minorHAnsi"/>
                          <w:color w:val="767171" w:themeColor="background2" w:themeShade="80"/>
                          <w:sz w:val="16"/>
                          <w:szCs w:val="16"/>
                        </w:rPr>
                      </w:pPr>
                      <w:hyperlink r:id="rId10" w:history="1">
                        <w:r w:rsidR="006647AE" w:rsidRPr="00E824FD">
                          <w:rPr>
                            <w:rStyle w:val="Hyperlink"/>
                            <w:rFonts w:cstheme="minorHAnsi"/>
                            <w:color w:val="767171" w:themeColor="background2" w:themeShade="80"/>
                            <w:sz w:val="16"/>
                            <w:szCs w:val="16"/>
                          </w:rPr>
                          <w:t>https://accme.org/accreditation-rules/standards-for-commercial-support/standard-2-resolution-personal-conflicts</w:t>
                        </w:r>
                      </w:hyperlink>
                    </w:p>
                    <w:p w14:paraId="5D5606D8" w14:textId="77777777" w:rsidR="006647AE" w:rsidRPr="00C337EA" w:rsidRDefault="006647AE" w:rsidP="00ED3D73">
                      <w:pPr>
                        <w:rPr>
                          <w:rFonts w:ascii="Arial" w:hAnsi="Arial" w:cs="Arial"/>
                          <w:color w:val="767171" w:themeColor="background2" w:themeShade="80"/>
                        </w:rPr>
                      </w:pPr>
                    </w:p>
                  </w:txbxContent>
                </v:textbox>
              </v:shape>
            </w:pict>
          </mc:Fallback>
        </mc:AlternateContent>
      </w:r>
    </w:p>
    <w:p w14:paraId="26AC9BAA" w14:textId="77777777" w:rsidR="005D2435" w:rsidRDefault="005D2435" w:rsidP="00105152"/>
    <w:p w14:paraId="14DB6394" w14:textId="77777777" w:rsidR="005D2435" w:rsidRDefault="005D2435" w:rsidP="00105152"/>
    <w:p w14:paraId="596B7519" w14:textId="5DED53A2" w:rsidR="005D2435" w:rsidRDefault="005D2435" w:rsidP="00105152"/>
    <w:p w14:paraId="74AE4404" w14:textId="5C74494F" w:rsidR="00ED3D73" w:rsidRDefault="00ED3D73" w:rsidP="00105152"/>
    <w:p w14:paraId="742D3F47" w14:textId="06E16FFF" w:rsidR="00ED3D73" w:rsidRDefault="00ED3D73" w:rsidP="00105152"/>
    <w:p w14:paraId="11923E04" w14:textId="3261D1A8" w:rsidR="00ED3D73" w:rsidRDefault="00ED3D73" w:rsidP="00105152"/>
    <w:p w14:paraId="6DB4E854" w14:textId="5041D799" w:rsidR="00ED3D73" w:rsidRDefault="00ED3D73" w:rsidP="00105152"/>
    <w:p w14:paraId="08F8F6CE" w14:textId="5220F7BB" w:rsidR="00ED3D73" w:rsidRDefault="00ED3D73" w:rsidP="00105152"/>
    <w:p w14:paraId="55CC91EE" w14:textId="24073EDD" w:rsidR="00ED3D73" w:rsidRDefault="00ED3D73" w:rsidP="00105152"/>
    <w:p w14:paraId="4503713D" w14:textId="301BF98B" w:rsidR="00ED3D73" w:rsidRDefault="00ED3D73" w:rsidP="00105152"/>
    <w:p w14:paraId="1A1249E9" w14:textId="3291FD91" w:rsidR="00BF2004" w:rsidRDefault="00BC02ED" w:rsidP="00105152">
      <w:r>
        <w:t xml:space="preserve">All institutions purchase products that staff needs to be trained on.  When this happens, the ACCME gives us guidelines to assist in understanding the vendors role, the product </w:t>
      </w:r>
      <w:proofErr w:type="gramStart"/>
      <w:r>
        <w:t>role</w:t>
      </w:r>
      <w:proofErr w:type="gramEnd"/>
      <w:r>
        <w:t xml:space="preserve"> and our role.</w:t>
      </w:r>
      <w:r w:rsidR="00ED3D73">
        <w:t xml:space="preserve">  </w:t>
      </w:r>
      <w:r w:rsidR="00BF2004">
        <w:t xml:space="preserve">When an organization changes a platform, one of the strongest points to remember when developing training is the audience </w:t>
      </w:r>
      <w:r w:rsidR="00AE4D77">
        <w:t xml:space="preserve">must </w:t>
      </w:r>
      <w:r w:rsidR="00BF2004">
        <w:t xml:space="preserve">UNLEARN the old process to RELEARN the new.  Showing examples, or referencing steps in the old process, is a great way to ensure </w:t>
      </w:r>
      <w:r w:rsidR="00BF2004" w:rsidRPr="00932FF9">
        <w:rPr>
          <w:i/>
          <w:iCs/>
        </w:rPr>
        <w:t>visual, tactile and auditory</w:t>
      </w:r>
      <w:r w:rsidR="00BF2004">
        <w:t xml:space="preserve"> learners receive the same information.</w:t>
      </w:r>
    </w:p>
    <w:p w14:paraId="33C1BF37" w14:textId="7E28D5E0" w:rsidR="003B788A" w:rsidRDefault="003B788A" w:rsidP="00105152">
      <w:r>
        <w:t>Product:</w:t>
      </w:r>
      <w:r w:rsidR="00B17BF2">
        <w:t xml:space="preserve">   </w:t>
      </w:r>
      <w:r w:rsidR="00B17BF2">
        <w:fldChar w:fldCharType="begin">
          <w:ffData>
            <w:name w:val="Text1"/>
            <w:enabled/>
            <w:calcOnExit w:val="0"/>
            <w:textInput/>
          </w:ffData>
        </w:fldChar>
      </w:r>
      <w:bookmarkStart w:id="0" w:name="Text1"/>
      <w:r w:rsidR="00B17BF2">
        <w:instrText xml:space="preserve"> FORMTEXT </w:instrText>
      </w:r>
      <w:r w:rsidR="00B17BF2">
        <w:fldChar w:fldCharType="separate"/>
      </w:r>
      <w:r w:rsidR="00B17BF2">
        <w:rPr>
          <w:noProof/>
        </w:rPr>
        <w:t> </w:t>
      </w:r>
      <w:r w:rsidR="00B17BF2">
        <w:rPr>
          <w:noProof/>
        </w:rPr>
        <w:t> </w:t>
      </w:r>
      <w:r w:rsidR="00B17BF2">
        <w:rPr>
          <w:noProof/>
        </w:rPr>
        <w:t> </w:t>
      </w:r>
      <w:r w:rsidR="00B17BF2">
        <w:rPr>
          <w:noProof/>
        </w:rPr>
        <w:t> </w:t>
      </w:r>
      <w:r w:rsidR="00B17BF2">
        <w:rPr>
          <w:noProof/>
        </w:rPr>
        <w:t> </w:t>
      </w:r>
      <w:r w:rsidR="00B17BF2">
        <w:fldChar w:fldCharType="end"/>
      </w:r>
      <w:bookmarkEnd w:id="0"/>
    </w:p>
    <w:p w14:paraId="3F04870A" w14:textId="2B90A383" w:rsidR="003B788A" w:rsidRDefault="003B788A" w:rsidP="00105152">
      <w:r>
        <w:t>Company:</w:t>
      </w:r>
      <w:r w:rsidR="00B17BF2">
        <w:t xml:space="preserve">   </w:t>
      </w:r>
      <w:r w:rsidR="00B17BF2">
        <w:fldChar w:fldCharType="begin">
          <w:ffData>
            <w:name w:val="Text2"/>
            <w:enabled/>
            <w:calcOnExit w:val="0"/>
            <w:textInput/>
          </w:ffData>
        </w:fldChar>
      </w:r>
      <w:bookmarkStart w:id="1" w:name="Text2"/>
      <w:r w:rsidR="00B17BF2">
        <w:instrText xml:space="preserve"> FORMTEXT </w:instrText>
      </w:r>
      <w:r w:rsidR="00B17BF2">
        <w:fldChar w:fldCharType="separate"/>
      </w:r>
      <w:r w:rsidR="00B17BF2">
        <w:rPr>
          <w:noProof/>
        </w:rPr>
        <w:t> </w:t>
      </w:r>
      <w:r w:rsidR="00B17BF2">
        <w:rPr>
          <w:noProof/>
        </w:rPr>
        <w:t> </w:t>
      </w:r>
      <w:r w:rsidR="00B17BF2">
        <w:rPr>
          <w:noProof/>
        </w:rPr>
        <w:t> </w:t>
      </w:r>
      <w:r w:rsidR="00B17BF2">
        <w:rPr>
          <w:noProof/>
        </w:rPr>
        <w:t> </w:t>
      </w:r>
      <w:r w:rsidR="00B17BF2">
        <w:rPr>
          <w:noProof/>
        </w:rPr>
        <w:t> </w:t>
      </w:r>
      <w:r w:rsidR="00B17BF2">
        <w:fldChar w:fldCharType="end"/>
      </w:r>
      <w:bookmarkEnd w:id="1"/>
    </w:p>
    <w:p w14:paraId="761EFE6F" w14:textId="43BD83E1" w:rsidR="003B788A" w:rsidRDefault="003B788A" w:rsidP="00105152">
      <w:r>
        <w:t>The purpose of the product:</w:t>
      </w:r>
      <w:r w:rsidR="00B17BF2">
        <w:t xml:space="preserve">   </w:t>
      </w:r>
      <w:r w:rsidR="00B17BF2">
        <w:fldChar w:fldCharType="begin">
          <w:ffData>
            <w:name w:val="Text3"/>
            <w:enabled/>
            <w:calcOnExit w:val="0"/>
            <w:textInput/>
          </w:ffData>
        </w:fldChar>
      </w:r>
      <w:bookmarkStart w:id="2" w:name="Text3"/>
      <w:r w:rsidR="00B17BF2">
        <w:instrText xml:space="preserve"> FORMTEXT </w:instrText>
      </w:r>
      <w:r w:rsidR="00B17BF2">
        <w:fldChar w:fldCharType="separate"/>
      </w:r>
      <w:r w:rsidR="00B17BF2">
        <w:rPr>
          <w:noProof/>
        </w:rPr>
        <w:t> </w:t>
      </w:r>
      <w:r w:rsidR="00B17BF2">
        <w:rPr>
          <w:noProof/>
        </w:rPr>
        <w:t> </w:t>
      </w:r>
      <w:r w:rsidR="00B17BF2">
        <w:rPr>
          <w:noProof/>
        </w:rPr>
        <w:t> </w:t>
      </w:r>
      <w:r w:rsidR="00B17BF2">
        <w:rPr>
          <w:noProof/>
        </w:rPr>
        <w:t> </w:t>
      </w:r>
      <w:r w:rsidR="00B17BF2">
        <w:rPr>
          <w:noProof/>
        </w:rPr>
        <w:t> </w:t>
      </w:r>
      <w:r w:rsidR="00B17BF2">
        <w:fldChar w:fldCharType="end"/>
      </w:r>
      <w:bookmarkEnd w:id="2"/>
    </w:p>
    <w:p w14:paraId="01972900" w14:textId="0A12E0B0" w:rsidR="00BC02ED" w:rsidRDefault="00BC02ED" w:rsidP="00105152">
      <w:r>
        <w:t>Who is leading the training (name, company, degree, etc.)?</w:t>
      </w:r>
      <w:r w:rsidR="00E824FD">
        <w:t xml:space="preserve">   </w:t>
      </w:r>
      <w:r w:rsidR="00E824FD">
        <w:fldChar w:fldCharType="begin">
          <w:ffData>
            <w:name w:val="Text5"/>
            <w:enabled/>
            <w:calcOnExit w:val="0"/>
            <w:textInput/>
          </w:ffData>
        </w:fldChar>
      </w:r>
      <w:bookmarkStart w:id="3" w:name="Text5"/>
      <w:r w:rsidR="00E824FD">
        <w:instrText xml:space="preserve"> FORMTEXT </w:instrText>
      </w:r>
      <w:r w:rsidR="00E824FD">
        <w:fldChar w:fldCharType="separate"/>
      </w:r>
      <w:r w:rsidR="00E824FD">
        <w:rPr>
          <w:noProof/>
        </w:rPr>
        <w:t> </w:t>
      </w:r>
      <w:r w:rsidR="00E824FD">
        <w:rPr>
          <w:noProof/>
        </w:rPr>
        <w:t> </w:t>
      </w:r>
      <w:r w:rsidR="00E824FD">
        <w:rPr>
          <w:noProof/>
        </w:rPr>
        <w:t> </w:t>
      </w:r>
      <w:r w:rsidR="00E824FD">
        <w:rPr>
          <w:noProof/>
        </w:rPr>
        <w:t> </w:t>
      </w:r>
      <w:r w:rsidR="00E824FD">
        <w:rPr>
          <w:noProof/>
        </w:rPr>
        <w:t> </w:t>
      </w:r>
      <w:r w:rsidR="00E824FD">
        <w:fldChar w:fldCharType="end"/>
      </w:r>
      <w:bookmarkEnd w:id="3"/>
    </w:p>
    <w:p w14:paraId="3D1EC902" w14:textId="061A73DA" w:rsidR="00BF2004" w:rsidRDefault="00BF2004" w:rsidP="00BF2004">
      <w:r>
        <w:t xml:space="preserve">Who developed the materials?   </w:t>
      </w:r>
      <w:sdt>
        <w:sdtPr>
          <w:id w:val="-1553534573"/>
          <w:placeholder>
            <w:docPart w:val="059BDC6811DB4740ABDF4517294593C9"/>
          </w:placeholder>
          <w:showingPlcHdr/>
          <w:dropDownList>
            <w:listItem w:value="Choose an item."/>
            <w:listItem w:displayText="AdventHealth Orlando" w:value="AdventHealth Orlando"/>
            <w:listItem w:displayText="Vendor" w:value="Vendor"/>
          </w:dropDownList>
        </w:sdtPr>
        <w:sdtEndPr/>
        <w:sdtContent>
          <w:r w:rsidR="00AE4D77" w:rsidRPr="00213EEF">
            <w:rPr>
              <w:rStyle w:val="PlaceholderText"/>
            </w:rPr>
            <w:t>Choose an item.</w:t>
          </w:r>
        </w:sdtContent>
      </w:sdt>
    </w:p>
    <w:p w14:paraId="11427212" w14:textId="235C9C94" w:rsidR="00BF2004" w:rsidRDefault="00BB17FE" w:rsidP="00105152">
      <w:r>
        <w:t>How will th</w:t>
      </w:r>
      <w:r w:rsidR="00AE4D77">
        <w:t>e</w:t>
      </w:r>
      <w:r>
        <w:t xml:space="preserve"> training be provided?    </w:t>
      </w:r>
      <w:sdt>
        <w:sdtPr>
          <w:id w:val="-1178109641"/>
          <w:placeholder>
            <w:docPart w:val="BD0F982674054D8A8EB19BA530CD1F1C"/>
          </w:placeholder>
          <w:showingPlcHdr/>
          <w:dropDownList>
            <w:listItem w:value="Choose an item."/>
            <w:listItem w:displayText="Live" w:value="Live"/>
            <w:listItem w:displayText="Enduring (online)" w:value="Enduring (online)"/>
          </w:dropDownList>
        </w:sdtPr>
        <w:sdtEndPr/>
        <w:sdtContent>
          <w:r w:rsidRPr="00213EEF">
            <w:rPr>
              <w:rStyle w:val="PlaceholderText"/>
            </w:rPr>
            <w:t>Choose an item.</w:t>
          </w:r>
        </w:sdtContent>
      </w:sdt>
    </w:p>
    <w:p w14:paraId="32EFA020" w14:textId="432CDE51" w:rsidR="008F0922" w:rsidRDefault="008F0922" w:rsidP="00105152">
      <w:r>
        <w:t>Has AdventHealth already purchased the new system/device?</w:t>
      </w:r>
      <w:r w:rsidR="00A22B95">
        <w:tab/>
      </w:r>
      <w:sdt>
        <w:sdtPr>
          <w:id w:val="2081013135"/>
          <w:placeholder>
            <w:docPart w:val="3673DC7BD29C4392B12664CD88FD6FE4"/>
          </w:placeholder>
          <w:showingPlcHdr/>
          <w:dropDownList>
            <w:listItem w:value="Choose an item."/>
            <w:listItem w:displayText="Yes" w:value="Yes"/>
            <w:listItem w:displayText="No" w:value="No"/>
          </w:dropDownList>
        </w:sdtPr>
        <w:sdtEndPr/>
        <w:sdtContent>
          <w:r w:rsidR="00A22B95" w:rsidRPr="00213EEF">
            <w:rPr>
              <w:rStyle w:val="PlaceholderText"/>
            </w:rPr>
            <w:t>Choose an item.</w:t>
          </w:r>
        </w:sdtContent>
      </w:sdt>
    </w:p>
    <w:p w14:paraId="2E15A09C" w14:textId="262DF57B" w:rsidR="00AE4D77" w:rsidRDefault="00AE4D77" w:rsidP="00105152">
      <w:r>
        <w:t xml:space="preserve">Will the vendor train AdventHealth employees to </w:t>
      </w:r>
      <w:r w:rsidR="00A03582">
        <w:t xml:space="preserve">educate </w:t>
      </w:r>
      <w:r>
        <w:t xml:space="preserve">in the future?  </w:t>
      </w:r>
      <w:r w:rsidR="00F760FC">
        <w:t xml:space="preserve">  </w:t>
      </w:r>
      <w:sdt>
        <w:sdtPr>
          <w:id w:val="2083946213"/>
          <w:placeholder>
            <w:docPart w:val="B53FBB40FB034EC9B4E6DE1F788D10C8"/>
          </w:placeholder>
          <w:showingPlcHdr/>
          <w:dropDownList>
            <w:listItem w:value="Choose an item."/>
            <w:listItem w:displayText="Yes" w:value="Yes"/>
            <w:listItem w:displayText="No" w:value="No"/>
          </w:dropDownList>
        </w:sdtPr>
        <w:sdtEndPr/>
        <w:sdtContent>
          <w:r w:rsidR="00F760FC" w:rsidRPr="00213EEF">
            <w:rPr>
              <w:rStyle w:val="PlaceholderText"/>
            </w:rPr>
            <w:t>Choose an item.</w:t>
          </w:r>
        </w:sdtContent>
      </w:sdt>
    </w:p>
    <w:p w14:paraId="4C2F476D" w14:textId="6B7FBC7F" w:rsidR="00D252F4" w:rsidRDefault="00D252F4" w:rsidP="00105152">
      <w:r>
        <w:t xml:space="preserve">Please state the department who will be responsible for training: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E6F5611" w14:textId="3D9D3C56" w:rsidR="00D252F4" w:rsidRDefault="00D252F4" w:rsidP="00105152">
      <w:r>
        <w:t xml:space="preserve">Type the name of the Course Director: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646E81F" w14:textId="4B75FEA0" w:rsidR="00A03582" w:rsidRPr="00D252F4" w:rsidRDefault="00D252F4" w:rsidP="00105152">
      <w:r>
        <w:t xml:space="preserve">Date:   </w:t>
      </w:r>
      <w:sdt>
        <w:sdtPr>
          <w:id w:val="-781804941"/>
          <w:placeholder>
            <w:docPart w:val="208DC73431D94519B196306395F64240"/>
          </w:placeholder>
          <w:showingPlcHdr/>
          <w:date>
            <w:dateFormat w:val="M/d/yyyy"/>
            <w:lid w:val="en-US"/>
            <w:storeMappedDataAs w:val="dateTime"/>
            <w:calendar w:val="gregorian"/>
          </w:date>
        </w:sdtPr>
        <w:sdtEndPr/>
        <w:sdtContent>
          <w:r w:rsidRPr="00213EEF">
            <w:rPr>
              <w:rStyle w:val="PlaceholderText"/>
            </w:rPr>
            <w:t>Click or tap to enter a date.</w:t>
          </w:r>
        </w:sdtContent>
      </w:sdt>
    </w:p>
    <w:sectPr w:rsidR="00A03582" w:rsidRPr="00D252F4" w:rsidSect="00E93018">
      <w:pgSz w:w="12240" w:h="15840"/>
      <w:pgMar w:top="450" w:right="99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ocumentProtection w:edit="forms" w:enforcement="1" w:cryptProviderType="rsaAES" w:cryptAlgorithmClass="hash" w:cryptAlgorithmType="typeAny" w:cryptAlgorithmSid="14" w:cryptSpinCount="100000" w:hash="cvgCO6oAqLQx9cLc1mV1H/gZy8y8Ywo2/gyBlYpPl15SYgyztK9VkTqgD7agKxJ8NSo5lvJSILWI6nRV7TtZpw==" w:salt="HLM253KqvRQRz2xS486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30"/>
    <w:rsid w:val="00034496"/>
    <w:rsid w:val="000355BC"/>
    <w:rsid w:val="00105152"/>
    <w:rsid w:val="00167DB6"/>
    <w:rsid w:val="0024360C"/>
    <w:rsid w:val="002E315F"/>
    <w:rsid w:val="002F039B"/>
    <w:rsid w:val="003B788A"/>
    <w:rsid w:val="00477376"/>
    <w:rsid w:val="0049470C"/>
    <w:rsid w:val="005435E5"/>
    <w:rsid w:val="0055353C"/>
    <w:rsid w:val="005D2435"/>
    <w:rsid w:val="006647AE"/>
    <w:rsid w:val="006F19BB"/>
    <w:rsid w:val="006F70F2"/>
    <w:rsid w:val="00730583"/>
    <w:rsid w:val="008F0922"/>
    <w:rsid w:val="009004D3"/>
    <w:rsid w:val="00932FF9"/>
    <w:rsid w:val="00951D30"/>
    <w:rsid w:val="00984CB4"/>
    <w:rsid w:val="00A03582"/>
    <w:rsid w:val="00A106D7"/>
    <w:rsid w:val="00A22B95"/>
    <w:rsid w:val="00AE2086"/>
    <w:rsid w:val="00AE4D77"/>
    <w:rsid w:val="00B17BF2"/>
    <w:rsid w:val="00B34419"/>
    <w:rsid w:val="00BB17FE"/>
    <w:rsid w:val="00BC02ED"/>
    <w:rsid w:val="00BF2004"/>
    <w:rsid w:val="00C337EA"/>
    <w:rsid w:val="00D252F4"/>
    <w:rsid w:val="00D62D13"/>
    <w:rsid w:val="00D77FAD"/>
    <w:rsid w:val="00E824FD"/>
    <w:rsid w:val="00E93018"/>
    <w:rsid w:val="00ED3D73"/>
    <w:rsid w:val="00ED4013"/>
    <w:rsid w:val="00EF7A41"/>
    <w:rsid w:val="00F7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B45E"/>
  <w15:chartTrackingRefBased/>
  <w15:docId w15:val="{FAD019B8-6C5B-493A-B032-1921EB7C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D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D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02ED"/>
    <w:rPr>
      <w:color w:val="0563C1"/>
      <w:u w:val="single"/>
    </w:rPr>
  </w:style>
  <w:style w:type="character" w:styleId="UnresolvedMention">
    <w:name w:val="Unresolved Mention"/>
    <w:basedOn w:val="DefaultParagraphFont"/>
    <w:uiPriority w:val="99"/>
    <w:semiHidden/>
    <w:unhideWhenUsed/>
    <w:rsid w:val="00E824FD"/>
    <w:rPr>
      <w:color w:val="605E5C"/>
      <w:shd w:val="clear" w:color="auto" w:fill="E1DFDD"/>
    </w:rPr>
  </w:style>
  <w:style w:type="character" w:styleId="PlaceholderText">
    <w:name w:val="Placeholder Text"/>
    <w:basedOn w:val="DefaultParagraphFont"/>
    <w:uiPriority w:val="99"/>
    <w:semiHidden/>
    <w:rsid w:val="00BB1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commercial-support/standard-2-resolution-personal-conflic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secure-web.cisco.com/1cagWpXKQk6u5Vp3MzUZDl9x1vdPAusOZpbBsiCmjhsDVgsQ82AaLPY4tAytTDi6Ws8NCwUAiASOINn2JolfTlZgPtlbU5prwCmG5wtF27LeSvTBC1H8f7Z_LsaPesmrmsCAaXYE6N2glIyVQRSq-UCDQb-tVy78ANiIVt964IlmwhOROfuhZNk170Dn-Ph7GEai-es4lu-_KMddyDmImASZiD97_2dNyVf8AQzt3WbHZA27x5ROn67zaLGRJHGiwbr2tQp4rrmhnObvIwhXgV-SpG8MQtOZ4befY6X_XeVbW09Pm5p5K-CT-zSqoSwB91skkzw9iIgPyDYAn-XkKvJhj2y-S9Pb1P0w-XR_k8t8VMbAizW1Em5Oik0lYVrZrlXrBR-erZMLmhrpM3q2S-uUY98OGuXnPGyqGhxLYYvs/https%3A%2F%2Fwww.accme.org%2Ffaq%2Fare-there-any-circumstances-when-employees-accme-defined-commercial-interests-can-be-position" TargetMode="Externa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ccme.org/accreditation-rules/standards-for-commercial-support/standard-2-resolution-personal-conflicts" TargetMode="External"/><Relationship Id="rId4" Type="http://schemas.openxmlformats.org/officeDocument/2006/relationships/styles" Target="styles.xml"/><Relationship Id="rId9" Type="http://schemas.openxmlformats.org/officeDocument/2006/relationships/hyperlink" Target="https://secure-web.cisco.com/1cagWpXKQk6u5Vp3MzUZDl9x1vdPAusOZpbBsiCmjhsDVgsQ82AaLPY4tAytTDi6Ws8NCwUAiASOINn2JolfTlZgPtlbU5prwCmG5wtF27LeSvTBC1H8f7Z_LsaPesmrmsCAaXYE6N2glIyVQRSq-UCDQb-tVy78ANiIVt964IlmwhOROfuhZNk170Dn-Ph7GEai-es4lu-_KMddyDmImASZiD97_2dNyVf8AQzt3WbHZA27x5ROn67zaLGRJHGiwbr2tQp4rrmhnObvIwhXgV-SpG8MQtOZ4befY6X_XeVbW09Pm5p5K-CT-zSqoSwB91skkzw9iIgPyDYAn-XkKvJhj2y-S9Pb1P0w-XR_k8t8VMbAizW1Em5Oik0lYVrZrlXrBR-erZMLmhrpM3q2S-uUY98OGuXnPGyqGhxLYYvs/https%3A%2F%2Fwww.accme.org%2Ffaq%2Fare-there-any-circumstances-when-employees-accme-defined-commercial-interests-can-be-posi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9BDC6811DB4740ABDF4517294593C9"/>
        <w:category>
          <w:name w:val="General"/>
          <w:gallery w:val="placeholder"/>
        </w:category>
        <w:types>
          <w:type w:val="bbPlcHdr"/>
        </w:types>
        <w:behaviors>
          <w:behavior w:val="content"/>
        </w:behaviors>
        <w:guid w:val="{CF11417A-7A34-4DB9-9629-64E4C5E1989D}"/>
      </w:docPartPr>
      <w:docPartBody>
        <w:p w:rsidR="008F4DC4" w:rsidRDefault="0041337E" w:rsidP="0041337E">
          <w:pPr>
            <w:pStyle w:val="059BDC6811DB4740ABDF4517294593C92"/>
          </w:pPr>
          <w:r w:rsidRPr="00213EEF">
            <w:rPr>
              <w:rStyle w:val="PlaceholderText"/>
            </w:rPr>
            <w:t>Choose an item.</w:t>
          </w:r>
        </w:p>
      </w:docPartBody>
    </w:docPart>
    <w:docPart>
      <w:docPartPr>
        <w:name w:val="BD0F982674054D8A8EB19BA530CD1F1C"/>
        <w:category>
          <w:name w:val="General"/>
          <w:gallery w:val="placeholder"/>
        </w:category>
        <w:types>
          <w:type w:val="bbPlcHdr"/>
        </w:types>
        <w:behaviors>
          <w:behavior w:val="content"/>
        </w:behaviors>
        <w:guid w:val="{066EC7EF-92FD-432F-A72A-3DD561EE7BF0}"/>
      </w:docPartPr>
      <w:docPartBody>
        <w:p w:rsidR="008F4DC4" w:rsidRDefault="0041337E" w:rsidP="0041337E">
          <w:pPr>
            <w:pStyle w:val="BD0F982674054D8A8EB19BA530CD1F1C2"/>
          </w:pPr>
          <w:r w:rsidRPr="00213EEF">
            <w:rPr>
              <w:rStyle w:val="PlaceholderText"/>
            </w:rPr>
            <w:t>Choose an item.</w:t>
          </w:r>
        </w:p>
      </w:docPartBody>
    </w:docPart>
    <w:docPart>
      <w:docPartPr>
        <w:name w:val="3673DC7BD29C4392B12664CD88FD6FE4"/>
        <w:category>
          <w:name w:val="General"/>
          <w:gallery w:val="placeholder"/>
        </w:category>
        <w:types>
          <w:type w:val="bbPlcHdr"/>
        </w:types>
        <w:behaviors>
          <w:behavior w:val="content"/>
        </w:behaviors>
        <w:guid w:val="{CE690F3E-5AE4-4A3B-90CF-D02D6A3DC19A}"/>
      </w:docPartPr>
      <w:docPartBody>
        <w:p w:rsidR="008F4DC4" w:rsidRDefault="0041337E" w:rsidP="0041337E">
          <w:pPr>
            <w:pStyle w:val="3673DC7BD29C4392B12664CD88FD6FE41"/>
          </w:pPr>
          <w:r w:rsidRPr="00213EEF">
            <w:rPr>
              <w:rStyle w:val="PlaceholderText"/>
            </w:rPr>
            <w:t>Choose an item.</w:t>
          </w:r>
        </w:p>
      </w:docPartBody>
    </w:docPart>
    <w:docPart>
      <w:docPartPr>
        <w:name w:val="B53FBB40FB034EC9B4E6DE1F788D10C8"/>
        <w:category>
          <w:name w:val="General"/>
          <w:gallery w:val="placeholder"/>
        </w:category>
        <w:types>
          <w:type w:val="bbPlcHdr"/>
        </w:types>
        <w:behaviors>
          <w:behavior w:val="content"/>
        </w:behaviors>
        <w:guid w:val="{BFBD0CC1-E491-47CB-A9F7-5D40018F8630}"/>
      </w:docPartPr>
      <w:docPartBody>
        <w:p w:rsidR="00035554" w:rsidRDefault="0041337E" w:rsidP="0041337E">
          <w:pPr>
            <w:pStyle w:val="B53FBB40FB034EC9B4E6DE1F788D10C81"/>
          </w:pPr>
          <w:r w:rsidRPr="00213EEF">
            <w:rPr>
              <w:rStyle w:val="PlaceholderText"/>
            </w:rPr>
            <w:t>Choose an item.</w:t>
          </w:r>
        </w:p>
      </w:docPartBody>
    </w:docPart>
    <w:docPart>
      <w:docPartPr>
        <w:name w:val="208DC73431D94519B196306395F64240"/>
        <w:category>
          <w:name w:val="General"/>
          <w:gallery w:val="placeholder"/>
        </w:category>
        <w:types>
          <w:type w:val="bbPlcHdr"/>
        </w:types>
        <w:behaviors>
          <w:behavior w:val="content"/>
        </w:behaviors>
        <w:guid w:val="{60F8AF64-F6D4-48A5-AAD7-AD3B707451A8}"/>
      </w:docPartPr>
      <w:docPartBody>
        <w:p w:rsidR="00035554" w:rsidRDefault="0041337E" w:rsidP="0041337E">
          <w:pPr>
            <w:pStyle w:val="208DC73431D94519B196306395F64240"/>
          </w:pPr>
          <w:r w:rsidRPr="00213EE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C4"/>
    <w:rsid w:val="00035554"/>
    <w:rsid w:val="0041337E"/>
    <w:rsid w:val="00856CE0"/>
    <w:rsid w:val="008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37E"/>
    <w:rPr>
      <w:color w:val="808080"/>
    </w:rPr>
  </w:style>
  <w:style w:type="paragraph" w:customStyle="1" w:styleId="059BDC6811DB4740ABDF4517294593C92">
    <w:name w:val="059BDC6811DB4740ABDF4517294593C92"/>
    <w:rsid w:val="0041337E"/>
    <w:rPr>
      <w:rFonts w:eastAsiaTheme="minorHAnsi"/>
    </w:rPr>
  </w:style>
  <w:style w:type="paragraph" w:customStyle="1" w:styleId="BD0F982674054D8A8EB19BA530CD1F1C2">
    <w:name w:val="BD0F982674054D8A8EB19BA530CD1F1C2"/>
    <w:rsid w:val="0041337E"/>
    <w:rPr>
      <w:rFonts w:eastAsiaTheme="minorHAnsi"/>
    </w:rPr>
  </w:style>
  <w:style w:type="paragraph" w:customStyle="1" w:styleId="3673DC7BD29C4392B12664CD88FD6FE41">
    <w:name w:val="3673DC7BD29C4392B12664CD88FD6FE41"/>
    <w:rsid w:val="0041337E"/>
    <w:rPr>
      <w:rFonts w:eastAsiaTheme="minorHAnsi"/>
    </w:rPr>
  </w:style>
  <w:style w:type="paragraph" w:customStyle="1" w:styleId="B53FBB40FB034EC9B4E6DE1F788D10C81">
    <w:name w:val="B53FBB40FB034EC9B4E6DE1F788D10C81"/>
    <w:rsid w:val="0041337E"/>
    <w:rPr>
      <w:rFonts w:eastAsiaTheme="minorHAnsi"/>
    </w:rPr>
  </w:style>
  <w:style w:type="paragraph" w:customStyle="1" w:styleId="208DC73431D94519B196306395F64240">
    <w:name w:val="208DC73431D94519B196306395F64240"/>
    <w:rsid w:val="0041337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995D8F0C54D40B46F4710754AEB26" ma:contentTypeVersion="13" ma:contentTypeDescription="Create a new document." ma:contentTypeScope="" ma:versionID="3d05ff5ab861f26bc052a3fa414c8f35">
  <xsd:schema xmlns:xsd="http://www.w3.org/2001/XMLSchema" xmlns:xs="http://www.w3.org/2001/XMLSchema" xmlns:p="http://schemas.microsoft.com/office/2006/metadata/properties" xmlns:ns3="7d8a2f0d-aa37-4dc6-9db5-571ae5ac3e54" xmlns:ns4="fcdcb60e-be93-453f-8f7a-80d74e16ef06" targetNamespace="http://schemas.microsoft.com/office/2006/metadata/properties" ma:root="true" ma:fieldsID="b3e1500dc4b8f78f89a0043d756e3ce0" ns3:_="" ns4:_="">
    <xsd:import namespace="7d8a2f0d-aa37-4dc6-9db5-571ae5ac3e54"/>
    <xsd:import namespace="fcdcb60e-be93-453f-8f7a-80d74e16ef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a2f0d-aa37-4dc6-9db5-571ae5ac3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cb60e-be93-453f-8f7a-80d74e16ef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84508-D10D-4D1D-9D6C-FBE702AD1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4AE52-88F0-4598-AF1E-BBFCA16CB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a2f0d-aa37-4dc6-9db5-571ae5ac3e54"/>
    <ds:schemaRef ds:uri="fcdcb60e-be93-453f-8f7a-80d74e16e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DF8E0-BC61-483E-BA0E-85443758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Provenza, Virginia</dc:creator>
  <cp:keywords/>
  <dc:description/>
  <cp:lastModifiedBy>Provenza, Virginia</cp:lastModifiedBy>
  <cp:revision>2</cp:revision>
  <dcterms:created xsi:type="dcterms:W3CDTF">2022-05-02T13:02:00Z</dcterms:created>
  <dcterms:modified xsi:type="dcterms:W3CDTF">2022-05-02T13:02:00Z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0x0101002A4995D8F0C54D40B46F4710754AEB26</vt:lpwstr>
  </property>
</Properties>
</file>