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884D3A" w:rsidRPr="005F138D" w:rsidP="007C116A">
      <w:pPr>
        <w:spacing w:before="240" w:after="240" w:line="240" w:lineRule="auto"/>
        <w:jc w:val="center"/>
        <w:rPr>
          <w:rFonts w:eastAsia="Times New Roman" w:cstheme="minorHAnsi"/>
          <w:b/>
          <w:iCs/>
          <w:color w:val="0073AE"/>
          <w:sz w:val="32"/>
          <w:szCs w:val="32"/>
        </w:rPr>
      </w:pPr>
      <w:r w:rsidRPr="005F138D">
        <w:rPr>
          <w:rFonts w:eastAsia="Times New Roman" w:cstheme="minorHAnsi"/>
          <w:b/>
          <w:iCs/>
          <w:color w:val="0073AE"/>
          <w:sz w:val="32"/>
          <w:szCs w:val="32"/>
        </w:rPr>
        <w:t>2026 HRO Immersion Training AH Minneola (ANCC)  - 9/28/2026</w:t>
      </w:r>
    </w:p>
    <w:tbl>
      <w:tblPr>
        <w:tblStyle w:val="TableGrid"/>
        <w:tblW w:w="0" w:type="auto"/>
        <w:tblBorders>
          <w:top w:val="nil"/>
          <w:left w:val="nil"/>
          <w:bottom w:val="nil"/>
          <w:right w:val="nil"/>
          <w:insideH w:val="nil"/>
          <w:insideV w:val="nil"/>
        </w:tblBorders>
        <w:tblLayout w:type="fixed"/>
        <w:tblLook w:val="04A0"/>
      </w:tblPr>
      <w:tblGrid>
        <w:gridCol w:w="1435"/>
        <w:gridCol w:w="4145"/>
        <w:gridCol w:w="1437"/>
        <w:gridCol w:w="2338"/>
      </w:tblGrid>
      <w:tr w:rsidTr="00B626F9">
        <w:tblPrEx>
          <w:tblW w:w="0" w:type="auto"/>
          <w:tblBorders>
            <w:top w:val="nil"/>
            <w:left w:val="nil"/>
            <w:bottom w:val="nil"/>
            <w:right w:val="nil"/>
            <w:insideH w:val="nil"/>
            <w:insideV w:val="nil"/>
          </w:tblBorders>
          <w:tblLayout w:type="fixed"/>
          <w:tblLook w:val="04A0"/>
        </w:tblPrEx>
        <w:tc>
          <w:tcPr>
            <w:tcW w:w="1435" w:type="dxa"/>
          </w:tcPr>
          <w:p w:rsidR="00373A01" w:rsidRPr="005F138D" w:rsidP="00373A01">
            <w:pPr>
              <w:spacing w:before="60" w:after="60"/>
              <w:rPr>
                <w:rFonts w:cstheme="minorHAnsi"/>
                <w:b/>
                <w:iCs/>
                <w:color w:val="0073AE"/>
              </w:rPr>
            </w:pPr>
            <w:r w:rsidRPr="005F138D">
              <w:rPr>
                <w:rFonts w:cstheme="minorHAnsi"/>
                <w:b/>
                <w:iCs/>
                <w:color w:val="0073AE"/>
              </w:rPr>
              <w:t>Date/Time:</w:t>
            </w:r>
          </w:p>
        </w:tc>
        <w:tc>
          <w:tcPr>
            <w:tcW w:w="4145" w:type="dxa"/>
          </w:tcPr>
          <w:p w:rsidR="00373A01" w:rsidRPr="005F138D" w:rsidP="00373A01">
            <w:pPr>
              <w:spacing w:before="60" w:after="60"/>
              <w:rPr>
                <w:rFonts w:cstheme="minorHAnsi"/>
                <w:b/>
                <w:iCs/>
                <w:color w:val="0073AE"/>
              </w:rPr>
            </w:pPr>
            <w:r w:rsidRPr="005F138D">
              <w:rPr>
                <w:rFonts w:cstheme="minorHAnsi"/>
                <w:iCs/>
                <w:noProof/>
              </w:rPr>
              <w:t>9/22/2026 9:30:00 AM</w:t>
            </w:r>
          </w:p>
        </w:tc>
        <w:tc>
          <w:tcPr>
            <w:tcW w:w="1437" w:type="dxa"/>
          </w:tcPr>
          <w:p w:rsidR="00373A01" w:rsidRPr="005F138D" w:rsidP="00373A01">
            <w:pPr>
              <w:spacing w:before="60" w:after="60"/>
              <w:rPr>
                <w:rFonts w:cstheme="minorHAnsi"/>
                <w:b/>
                <w:iCs/>
                <w:color w:val="0073AE"/>
              </w:rPr>
            </w:pPr>
            <w:r w:rsidRPr="005F138D">
              <w:rPr>
                <w:rFonts w:cstheme="minorHAnsi"/>
                <w:b/>
                <w:iCs/>
                <w:color w:val="0073AE"/>
              </w:rPr>
              <w:t>Activity ID:</w:t>
            </w:r>
          </w:p>
        </w:tc>
        <w:tc>
          <w:tcPr>
            <w:tcW w:w="2338" w:type="dxa"/>
          </w:tcPr>
          <w:p w:rsidR="00373A01" w:rsidRPr="005F138D" w:rsidP="00373A01">
            <w:pPr>
              <w:spacing w:before="60" w:after="60"/>
              <w:rPr>
                <w:rFonts w:cstheme="minorHAnsi"/>
                <w:b/>
                <w:iCs/>
                <w:color w:val="0073AE"/>
              </w:rPr>
            </w:pPr>
            <w:r w:rsidRPr="005F138D">
              <w:rPr>
                <w:rFonts w:cstheme="minorHAnsi"/>
                <w:b/>
                <w:iCs/>
                <w:color w:val="FF0000"/>
              </w:rPr>
              <w:t>24313</w:t>
            </w:r>
          </w:p>
        </w:tc>
      </w:tr>
      <w:tr w:rsidTr="00B626F9">
        <w:tblPrEx>
          <w:tblW w:w="0" w:type="auto"/>
          <w:tblLayout w:type="fixed"/>
          <w:tblLook w:val="04A0"/>
        </w:tblPrEx>
        <w:tc>
          <w:tcPr>
            <w:tcW w:w="1435" w:type="dxa"/>
          </w:tcPr>
          <w:p w:rsidR="00373A01" w:rsidRPr="005F138D" w:rsidP="00373A01">
            <w:pPr>
              <w:spacing w:before="60" w:after="60"/>
              <w:rPr>
                <w:rFonts w:cstheme="minorHAnsi"/>
                <w:b/>
                <w:iCs/>
                <w:color w:val="0073AE"/>
              </w:rPr>
            </w:pPr>
            <w:r w:rsidRPr="005F138D">
              <w:rPr>
                <w:rFonts w:cstheme="minorHAnsi"/>
                <w:b/>
                <w:iCs/>
                <w:color w:val="0073AE"/>
              </w:rPr>
              <w:t>Location:</w:t>
            </w:r>
          </w:p>
        </w:tc>
        <w:tc>
          <w:tcPr>
            <w:tcW w:w="7920" w:type="dxa"/>
            <w:gridSpan w:val="3"/>
          </w:tcPr>
          <w:p w:rsidR="00CF4608" w:rsidRPr="005F138D" w:rsidP="00373A01">
            <w:pPr>
              <w:spacing w:before="60" w:after="60"/>
              <w:rPr>
                <w:rFonts w:cstheme="minorHAnsi"/>
                <w:iCs/>
                <w:noProof/>
              </w:rPr>
            </w:pPr>
            <w:r w:rsidRPr="005F138D">
              <w:rPr>
                <w:rFonts w:cstheme="minorHAnsi"/>
                <w:iCs/>
                <w:noProof/>
              </w:rPr>
              <w:t xml:space="preserve">AdventHealth Minneola </w:t>
            </w:r>
          </w:p>
        </w:tc>
      </w:tr>
      <w:tr w:rsidTr="00B626F9">
        <w:tblPrEx>
          <w:tblW w:w="0" w:type="auto"/>
          <w:tblLayout w:type="fixed"/>
          <w:tblLook w:val="04A0"/>
        </w:tblPrEx>
        <w:tc>
          <w:tcPr>
            <w:tcW w:w="1435" w:type="dxa"/>
          </w:tcPr>
          <w:p w:rsidR="00CF4608" w:rsidRPr="005F138D" w:rsidP="00373A01">
            <w:pPr>
              <w:spacing w:before="60" w:after="60"/>
              <w:rPr>
                <w:rFonts w:cstheme="minorHAnsi"/>
                <w:b/>
                <w:iCs/>
                <w:color w:val="0073AE"/>
              </w:rPr>
            </w:pPr>
            <w:r w:rsidRPr="005F138D">
              <w:rPr>
                <w:rFonts w:cstheme="minorHAnsi"/>
                <w:b/>
                <w:iCs/>
                <w:color w:val="0073AE"/>
              </w:rPr>
              <w:t>Topic</w:t>
            </w:r>
          </w:p>
        </w:tc>
        <w:tc>
          <w:tcPr>
            <w:tcW w:w="7920" w:type="dxa"/>
            <w:gridSpan w:val="3"/>
          </w:tcPr>
          <w:p w:rsidR="00CF4608" w:rsidRPr="005F138D" w:rsidP="00373A01">
            <w:pPr>
              <w:spacing w:before="60" w:after="60"/>
              <w:rPr>
                <w:rFonts w:cstheme="minorHAnsi"/>
                <w:iCs/>
                <w:noProof/>
              </w:rPr>
            </w:pPr>
            <w:r>
              <w:rPr>
                <w:rtl w:val="0"/>
              </w:rPr>
              <w:t>The HRO Immersion Training is a 6-week interactive program designed to translate High Reliability principles into real clinical practice. Participants engage in simulation, team exercises, and debriefs to strengthen communication, risk recognition, and decision-making. The program emphasizes practical application to improve safety, teamwork, and reliability in daily operations.</w:t>
            </w:r>
          </w:p>
        </w:tc>
      </w:tr>
    </w:tbl>
    <w:p w:rsidR="00373A01" w:rsidRPr="005F138D" w:rsidP="00373A01">
      <w:pPr>
        <w:spacing w:before="240" w:after="120" w:line="240" w:lineRule="auto"/>
        <w:rPr>
          <w:rFonts w:eastAsia="Times New Roman" w:cstheme="minorHAnsi"/>
          <w:b/>
          <w:iCs/>
          <w:color w:val="0073AE"/>
        </w:rPr>
      </w:pPr>
      <w:r w:rsidRPr="005F138D">
        <w:rPr>
          <w:rFonts w:eastAsia="Times New Roman" w:cstheme="minorHAnsi"/>
          <w:b/>
          <w:iCs/>
          <w:color w:val="0073AE"/>
        </w:rPr>
        <w:t>Objectives:</w:t>
      </w:r>
    </w:p>
    <w:p w:rsidR="00805127" w:rsidRPr="005F138D" w:rsidP="00602C5E">
      <w:pPr>
        <w:spacing w:after="120" w:line="240" w:lineRule="auto"/>
        <w:rPr>
          <w:rFonts w:eastAsia="Times New Roman" w:cstheme="minorHAnsi"/>
          <w:bCs/>
          <w:iCs/>
          <w:sz w:val="20"/>
          <w:szCs w:val="20"/>
        </w:rPr>
      </w:pPr>
      <w:r w:rsidRPr="005F138D">
        <w:rPr>
          <w:rFonts w:eastAsia="Times New Roman" w:cstheme="minorHAnsi"/>
          <w:bCs/>
          <w:iCs/>
          <w:sz w:val="20"/>
          <w:szCs w:val="20"/>
        </w:rPr>
        <w:t>A</w:t>
      </w:r>
      <w:r w:rsidR="00C63AD9">
        <w:rPr>
          <w:rFonts w:eastAsia="Times New Roman" w:cstheme="minorHAnsi"/>
          <w:bCs/>
          <w:iCs/>
          <w:sz w:val="20"/>
          <w:szCs w:val="20"/>
        </w:rPr>
        <w:t>fter</w:t>
      </w:r>
      <w:r w:rsidRPr="005F138D">
        <w:rPr>
          <w:rFonts w:eastAsia="Times New Roman" w:cstheme="minorHAnsi"/>
          <w:bCs/>
          <w:iCs/>
          <w:sz w:val="20"/>
          <w:szCs w:val="20"/>
        </w:rPr>
        <w:t xml:space="preserve"> this activity, the participant will be able to:</w:t>
      </w:r>
    </w:p>
    <w:p w:rsidR="00810AC6"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fldChar w:fldCharType="begin"/>
      </w:r>
      <w:r w:rsidRPr="005F138D">
        <w:rPr>
          <w:rFonts w:eastAsia="Times New Roman" w:cstheme="minorHAnsi"/>
          <w:iCs/>
          <w:noProof/>
          <w:sz w:val="20"/>
          <w:szCs w:val="20"/>
        </w:rPr>
        <w:instrText xml:space="preserve"> IF </w:instrText>
      </w:r>
      <w:r w:rsidRPr="005F138D" w:rsidR="00373A01">
        <w:rPr>
          <w:rFonts w:eastAsia="Times New Roman" w:cstheme="minorHAnsi"/>
          <w:iCs/>
          <w:noProof/>
          <w:sz w:val="20"/>
          <w:szCs w:val="20"/>
        </w:rPr>
        <w:instrText>"</w:instrText>
      </w:r>
      <w:r w:rsidRPr="005F138D" w:rsidR="00373A01">
        <w:rPr>
          <w:rFonts w:eastAsia="Times New Roman" w:cstheme="minorHAnsi"/>
          <w:iCs/>
          <w:noProof/>
          <w:sz w:val="20"/>
          <w:szCs w:val="20"/>
        </w:rPr>
        <w:instrText>"</w:instrText>
      </w:r>
      <w:r w:rsidRPr="005F138D">
        <w:rPr>
          <w:rFonts w:eastAsia="Times New Roman" w:cstheme="minorHAnsi"/>
          <w:iCs/>
          <w:noProof/>
          <w:sz w:val="20"/>
          <w:szCs w:val="20"/>
        </w:rPr>
        <w:instrText xml:space="preserve"> &gt; 0 “</w:instrText>
      </w:r>
    </w:p>
    <w:p w:rsidR="00053340"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fldChar w:fldCharType="begin"/>
      </w:r>
      <w:r w:rsidRPr="005F138D">
        <w:rPr>
          <w:rFonts w:eastAsia="Times New Roman" w:cstheme="minorHAnsi"/>
          <w:iCs/>
          <w:noProof/>
          <w:sz w:val="20"/>
          <w:szCs w:val="20"/>
        </w:rPr>
        <w:instrText xml:space="preserve"> MERGEFIELD PharmObjectives </w:instrText>
      </w:r>
      <w:r w:rsidRPr="005F138D">
        <w:rPr>
          <w:rFonts w:eastAsia="Times New Roman" w:cstheme="minorHAnsi"/>
          <w:iCs/>
          <w:noProof/>
          <w:sz w:val="20"/>
          <w:szCs w:val="20"/>
        </w:rPr>
        <w:fldChar w:fldCharType="separate"/>
      </w:r>
      <w:r w:rsidRPr="005F138D">
        <w:rPr>
          <w:rFonts w:eastAsia="Times New Roman" w:cstheme="minorHAnsi"/>
          <w:iCs/>
          <w:noProof/>
          <w:sz w:val="20"/>
          <w:szCs w:val="20"/>
        </w:rPr>
        <w:fldChar w:fldCharType="end"/>
      </w:r>
      <w:r w:rsidRPr="005F138D">
        <w:rPr>
          <w:rFonts w:eastAsia="Times New Roman" w:cstheme="minorHAnsi"/>
          <w:iCs/>
          <w:noProof/>
          <w:sz w:val="20"/>
          <w:szCs w:val="20"/>
        </w:rPr>
        <w:instrText>” “</w:instrText>
      </w:r>
      <w:r w:rsidRPr="005F138D">
        <w:rPr>
          <w:rFonts w:eastAsia="Times New Roman" w:cstheme="minorHAnsi"/>
          <w:iCs/>
          <w:noProof/>
          <w:sz w:val="20"/>
          <w:szCs w:val="20"/>
        </w:rPr>
        <w:instrText xml:space="preserve">” </w:instrText>
      </w:r>
      <w:r w:rsidRPr="005F138D">
        <w:rPr>
          <w:rFonts w:eastAsia="Times New Roman" w:cstheme="minorHAnsi"/>
          <w:iCs/>
          <w:noProof/>
          <w:sz w:val="20"/>
          <w:szCs w:val="20"/>
        </w:rPr>
        <w:fldChar w:fldCharType="separate"/>
      </w:r>
      <w:r w:rsidRPr="005F138D">
        <w:rPr>
          <w:rFonts w:eastAsia="Times New Roman" w:cstheme="minorHAnsi"/>
          <w:iCs/>
          <w:noProof/>
          <w:sz w:val="20"/>
          <w:szCs w:val="20"/>
        </w:rPr>
        <w:fldChar w:fldCharType="end"/>
      </w:r>
    </w:p>
    <w:p w:rsidR="00373A01" w:rsidRPr="005F138D" w:rsidP="00053340">
      <w:pPr>
        <w:spacing w:after="120" w:line="240" w:lineRule="auto"/>
        <w:rPr>
          <w:rFonts w:eastAsia="Times New Roman" w:cstheme="minorHAnsi"/>
          <w:iCs/>
          <w:sz w:val="20"/>
          <w:szCs w:val="20"/>
        </w:rPr>
      </w:pPr>
      <w:r w:rsidRPr="005F138D">
        <w:rPr>
          <w:rFonts w:eastAsia="Times New Roman" w:cstheme="minorHAnsi"/>
          <w:b/>
          <w:iCs/>
          <w:color w:val="0073AE"/>
        </w:rPr>
        <w:t>Accreditation:</w: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Accreditation Council for Pharmacy Education (ACPE)</w:instrText>
      </w:r>
    </w:p>
    <w:p w:rsidR="00A44D74" w:rsidRPr="005F138D" w:rsidP="00053340">
      <w:pPr>
        <w:spacing w:after="120" w:line="240" w:lineRule="auto"/>
        <w:rPr>
          <w:rFonts w:eastAsia="Times New Roman" w:cstheme="minorHAnsi"/>
          <w:iCs/>
          <w:noProof/>
          <w:sz w:val="20"/>
          <w:szCs w:val="20"/>
        </w:rPr>
      </w:pPr>
      <w:r w:rsidRPr="005F138D">
        <w:rPr>
          <w:rFonts w:eastAsia="Times New Roman" w:cstheme="minorHAnsi"/>
          <w:bCs/>
          <w:noProof/>
          <w:szCs w:val="24"/>
        </w:rPr>
        <w:drawing>
          <wp:anchor distT="0" distB="0" distL="114300" distR="114300" simplePos="0" relativeHeight="251658240" behindDoc="1" locked="0" layoutInCell="1" allowOverlap="1">
            <wp:simplePos x="0" y="0"/>
            <wp:positionH relativeFrom="column">
              <wp:posOffset>3810</wp:posOffset>
            </wp:positionH>
            <wp:positionV relativeFrom="paragraph">
              <wp:posOffset>13640</wp:posOffset>
            </wp:positionV>
            <wp:extent cx="357505" cy="365760"/>
            <wp:effectExtent l="0" t="0" r="4445" b="0"/>
            <wp:wrapSquare wrapText="bothSides"/>
            <wp:docPr id="25" name="Picture 25" descr="A picture containing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4.png"/>
                    <pic:cNvPicPr/>
                  </pic:nvPicPr>
                  <pic:blipFill rotWithShape="1">
                    <a:blip xmlns:r="http://schemas.openxmlformats.org/officeDocument/2006/relationships" r:embed="rId5"/>
                    <a:srcRect l="10628" t="3007" b="9151"/>
                    <a:stretch/>
                  </pic:blipFill>
                  <pic:spPr bwMode="auto">
                    <a:xfrm>
                      <a:off x="0" y="0"/>
                      <a:ext cx="357505" cy="365760"/>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xml:space="preserve">This activity provides </w:instrText>
      </w:r>
      <w:r w:rsidRPr="005F138D">
        <w:rPr>
          <w:rFonts w:eastAsia="Times New Roman" w:cstheme="minorHAnsi"/>
          <w:bCs/>
          <w:iCs/>
          <w:color w:val="000000"/>
          <w:sz w:val="20"/>
          <w:szCs w:val="20"/>
        </w:rPr>
        <w:instrText xml:space="preserve"> contact hours of continuing education.</w:instrText>
      </w:r>
      <w:r w:rsidRPr="007A518B" w:rsidR="007A518B">
        <w:rPr>
          <w:rFonts w:eastAsia="Times New Roman" w:cstheme="minorHAnsi"/>
          <w:bCs/>
          <w:iCs/>
          <w:color w:val="000000"/>
          <w:sz w:val="20"/>
          <w:szCs w:val="20"/>
        </w:rPr>
        <w:instrText xml:space="preserve"> </w:instrText>
      </w:r>
      <w:r w:rsidRPr="005F138D" w:rsidR="007A518B">
        <w:rPr>
          <w:rFonts w:eastAsia="Times New Roman" w:cstheme="minorHAnsi"/>
          <w:bCs/>
          <w:iCs/>
          <w:color w:val="000000"/>
          <w:sz w:val="20"/>
          <w:szCs w:val="20"/>
        </w:rPr>
        <w:instrText xml:space="preserve">ACPE Universal Activity Number (UAN): </w:instrText>
      </w:r>
      <w:r w:rsidRPr="005F138D" w:rsidR="007A518B">
        <w:rPr>
          <w:rFonts w:eastAsia="Times New Roman" w:cstheme="minorHAnsi"/>
          <w:bCs/>
          <w:iCs/>
          <w:color w:val="000000"/>
          <w:sz w:val="20"/>
          <w:szCs w:val="20"/>
        </w:rPr>
        <w:fldChar w:fldCharType="begin"/>
      </w:r>
      <w:r w:rsidRPr="005F138D" w:rsidR="007A518B">
        <w:rPr>
          <w:rFonts w:eastAsia="Times New Roman" w:cstheme="minorHAnsi"/>
          <w:bCs/>
          <w:iCs/>
          <w:color w:val="000000"/>
          <w:sz w:val="20"/>
          <w:szCs w:val="20"/>
        </w:rPr>
        <w:instrText xml:space="preserve"> IF </w:instrText>
      </w:r>
      <w:r w:rsidRPr="005F138D" w:rsidR="007A518B">
        <w:rPr>
          <w:rFonts w:eastAsia="Times New Roman" w:cstheme="minorHAnsi"/>
          <w:bCs/>
          <w:iCs/>
          <w:color w:val="000000"/>
          <w:sz w:val="20"/>
          <w:szCs w:val="20"/>
        </w:rPr>
        <w:instrText>"</w:instrText>
      </w:r>
      <w:r w:rsidRPr="005F138D" w:rsidR="007A518B">
        <w:rPr>
          <w:rFonts w:eastAsia="Times New Roman" w:cstheme="minorHAnsi"/>
          <w:bCs/>
          <w:iCs/>
          <w:color w:val="000000"/>
          <w:sz w:val="20"/>
          <w:szCs w:val="20"/>
        </w:rPr>
        <w:instrText>"</w:instrText>
      </w:r>
      <w:r w:rsidRPr="005F138D" w:rsidR="007A518B">
        <w:rPr>
          <w:rFonts w:eastAsia="Times New Roman" w:cstheme="minorHAnsi"/>
          <w:bCs/>
          <w:iCs/>
          <w:color w:val="000000"/>
          <w:sz w:val="20"/>
          <w:szCs w:val="20"/>
        </w:rPr>
        <w:instrText xml:space="preserve"> &lt;&gt; "" "Pharmacists: </w:instrText>
      </w:r>
      <w:r w:rsidRPr="005F138D" w:rsidR="007A518B">
        <w:rPr>
          <w:rFonts w:eastAsia="Times New Roman" w:cstheme="minorHAnsi"/>
          <w:bCs/>
          <w:iCs/>
          <w:color w:val="000000"/>
          <w:sz w:val="20"/>
          <w:szCs w:val="20"/>
        </w:rPr>
        <w:fldChar w:fldCharType="begin"/>
      </w:r>
      <w:r w:rsidRPr="005F138D" w:rsidR="007A518B">
        <w:rPr>
          <w:rFonts w:eastAsia="Times New Roman" w:cstheme="minorHAnsi"/>
          <w:bCs/>
          <w:iCs/>
          <w:color w:val="000000"/>
          <w:sz w:val="20"/>
          <w:szCs w:val="20"/>
        </w:rPr>
        <w:instrText xml:space="preserve"> MERGEFIELD ACPEPharmUAN </w:instrText>
      </w:r>
      <w:r w:rsidRPr="005F138D" w:rsidR="007A518B">
        <w:rPr>
          <w:rFonts w:eastAsia="Times New Roman" w:cstheme="minorHAnsi"/>
          <w:bCs/>
          <w:iCs/>
          <w:color w:val="000000"/>
          <w:sz w:val="20"/>
          <w:szCs w:val="20"/>
        </w:rPr>
        <w:fldChar w:fldCharType="separate"/>
      </w:r>
      <w:r w:rsidR="007A518B">
        <w:rPr>
          <w:rFonts w:eastAsia="Times New Roman" w:cstheme="minorHAnsi"/>
          <w:bCs/>
          <w:iCs/>
          <w:noProof/>
          <w:color w:val="000000"/>
          <w:sz w:val="20"/>
          <w:szCs w:val="20"/>
        </w:rPr>
        <w:instrText>«ACPEPharmUAN»</w:instrText>
      </w:r>
      <w:r w:rsidRPr="005F138D" w:rsidR="007A518B">
        <w:rPr>
          <w:rFonts w:eastAsia="Times New Roman" w:cstheme="minorHAnsi"/>
          <w:bCs/>
          <w:iCs/>
          <w:color w:val="000000"/>
          <w:sz w:val="20"/>
          <w:szCs w:val="20"/>
        </w:rPr>
        <w:fldChar w:fldCharType="end"/>
      </w:r>
      <w:r w:rsidRPr="005F138D" w:rsidR="007A518B">
        <w:rPr>
          <w:rFonts w:eastAsia="Times New Roman" w:cstheme="minorHAnsi"/>
          <w:bCs/>
          <w:iCs/>
          <w:color w:val="000000"/>
          <w:sz w:val="20"/>
          <w:szCs w:val="20"/>
        </w:rPr>
        <w:instrText xml:space="preserve">" " Technician: </w:instrText>
      </w:r>
      <w:r w:rsidRPr="005F138D" w:rsidR="007A518B">
        <w:rPr>
          <w:rFonts w:eastAsia="Times New Roman" w:cstheme="minorHAnsi"/>
          <w:bCs/>
          <w:iCs/>
          <w:color w:val="000000"/>
          <w:sz w:val="20"/>
          <w:szCs w:val="20"/>
        </w:rPr>
        <w:instrText xml:space="preserve">" </w:instrText>
      </w:r>
      <w:r w:rsidRPr="005F138D" w:rsidR="007A518B">
        <w:rPr>
          <w:rFonts w:eastAsia="Times New Roman" w:cstheme="minorHAnsi"/>
          <w:bCs/>
          <w:iCs/>
          <w:color w:val="000000"/>
          <w:sz w:val="20"/>
          <w:szCs w:val="20"/>
        </w:rPr>
        <w:fldChar w:fldCharType="separate"/>
      </w:r>
      <w:r w:rsidRPr="005F138D" w:rsidR="007A518B">
        <w:rPr>
          <w:rFonts w:eastAsia="Times New Roman" w:cstheme="minorHAnsi"/>
          <w:bCs/>
          <w:iCs/>
          <w:color w:val="000000"/>
          <w:sz w:val="20"/>
          <w:szCs w:val="20"/>
        </w:rPr>
        <w:instrText xml:space="preserve"> Technician: </w:instrText>
      </w:r>
      <w:r w:rsidRPr="005F138D" w:rsidR="007A518B">
        <w:rPr>
          <w:rFonts w:eastAsia="Times New Roman" w:cstheme="minorHAnsi"/>
          <w:bCs/>
          <w:iCs/>
          <w:color w:val="000000"/>
          <w:sz w:val="20"/>
          <w:szCs w:val="20"/>
        </w:rPr>
        <w:fldChar w:fldCharType="end"/>
      </w:r>
      <w:r w:rsidR="007A518B">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sidR="00373A01">
        <w:rPr>
          <w:rFonts w:eastAsia="Times New Roman" w:cstheme="minorHAnsi"/>
          <w:bCs/>
          <w:iCs/>
          <w:color w:val="000000"/>
          <w:sz w:val="20"/>
          <w:szCs w:val="20"/>
        </w:rPr>
        <w:fldChar w:fldCharType="end"/>
      </w:r>
      <w:r w:rsidRPr="005F138D" w:rsidR="009A1B2A">
        <w:rPr>
          <w:rFonts w:eastAsia="Times New Roman" w:cstheme="minorHAnsi"/>
          <w:bCs/>
          <w:iCs/>
          <w:color w:val="000000"/>
          <w:sz w:val="20"/>
          <w:szCs w:val="20"/>
        </w:rPr>
        <w:t xml:space="preserve"> </w:t>
      </w:r>
      <w:r w:rsidRPr="005F138D" w:rsidR="00373A01">
        <w:rPr>
          <w:rFonts w:eastAsia="Times New Roman" w:cstheme="minorHAnsi"/>
          <w:bCs/>
          <w:iCs/>
          <w:color w:val="000000"/>
          <w:sz w:val="20"/>
          <w:szCs w:val="20"/>
        </w:rPr>
        <w:fldChar w:fldCharType="begin"/>
      </w:r>
      <w:r w:rsidRPr="005F138D" w:rsidR="00373A01">
        <w:rPr>
          <w:rFonts w:eastAsia="Times New Roman" w:cstheme="minorHAnsi"/>
          <w:bCs/>
          <w:iCs/>
          <w:color w:val="000000"/>
          <w:sz w:val="20"/>
          <w:szCs w:val="20"/>
        </w:rPr>
        <w:instrText xml:space="preserve"> IF </w:instrText>
      </w:r>
      <w:r w:rsidRPr="005F138D" w:rsidR="00373A01">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College of Sports Medicine (ACSM)</w:instrText>
      </w:r>
    </w:p>
    <w:p w:rsidR="00373A01" w:rsidRPr="005F138D" w:rsidP="00373A01">
      <w:pPr>
        <w:spacing w:after="0" w:line="240" w:lineRule="auto"/>
        <w:rPr>
          <w:rFonts w:eastAsia="Times New Roman" w:cstheme="minorHAnsi"/>
          <w:sz w:val="20"/>
          <w:szCs w:val="20"/>
        </w:rPr>
      </w:pPr>
      <w:r w:rsidRPr="005F138D">
        <w:rPr>
          <w:rFonts w:eastAsia="Times New Roman" w:cstheme="minorHAnsi"/>
          <w:noProof/>
          <w:sz w:val="20"/>
          <w:szCs w:val="20"/>
        </w:rPr>
        <w:drawing>
          <wp:anchor distT="0" distB="0" distL="114300" distR="114300" simplePos="0" relativeHeight="251663360" behindDoc="0" locked="0" layoutInCell="1" allowOverlap="1">
            <wp:simplePos x="0" y="0"/>
            <wp:positionH relativeFrom="margin">
              <wp:posOffset>0</wp:posOffset>
            </wp:positionH>
            <wp:positionV relativeFrom="paragraph">
              <wp:posOffset>9195</wp:posOffset>
            </wp:positionV>
            <wp:extent cx="365760" cy="357505"/>
            <wp:effectExtent l="0" t="0" r="0" b="4445"/>
            <wp:wrapSquare wrapText="bothSides"/>
            <wp:docPr id="6" name="Picture 6" descr="A picture containing metalware, ch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metalware, chain&#10;&#10;Description automatically generated"/>
                    <pic:cNvPicPr/>
                  </pic:nvPicPr>
                  <pic:blipFill>
                    <a:blip xmlns:r="http://schemas.openxmlformats.org/officeDocument/2006/relationships" r:embed="rId6"/>
                    <a:stretch>
                      <a:fillRect/>
                    </a:stretch>
                  </pic:blipFill>
                  <pic:spPr>
                    <a:xfrm>
                      <a:off x="0" y="0"/>
                      <a:ext cx="365760" cy="357505"/>
                    </a:xfrm>
                    <a:prstGeom prst="rect">
                      <a:avLst/>
                    </a:prstGeom>
                  </pic:spPr>
                </pic:pic>
              </a:graphicData>
            </a:graphic>
          </wp:anchor>
        </w:drawing>
      </w:r>
      <w:r w:rsidRPr="005F138D">
        <w:rPr>
          <w:rFonts w:eastAsia="Times New Roman" w:cstheme="minorHAnsi"/>
          <w:sz w:val="20"/>
          <w:szCs w:val="20"/>
        </w:rPr>
        <w:instrText>The American College of Sports Medicine’s Professional Education Committee certifies that AdventHealth Orlando meets the criteria for official ACSM Approved Provider status from 2021-2023.</w:instrText>
      </w:r>
    </w:p>
    <w:p w:rsidR="00373A01" w:rsidRPr="005F138D" w:rsidP="00373A01">
      <w:pPr>
        <w:spacing w:after="0" w:line="240" w:lineRule="auto"/>
        <w:jc w:val="both"/>
        <w:rPr>
          <w:rFonts w:eastAsia="Times New Roman" w:cstheme="minorHAnsi"/>
          <w:sz w:val="20"/>
          <w:szCs w:val="20"/>
        </w:rPr>
      </w:pPr>
    </w:p>
    <w:p w:rsidR="00373A01" w:rsidRPr="005F138D" w:rsidP="00373A01">
      <w:pPr>
        <w:tabs>
          <w:tab w:val="left" w:pos="6480"/>
        </w:tabs>
        <w:spacing w:after="0" w:line="240" w:lineRule="auto"/>
        <w:rPr>
          <w:rFonts w:eastAsia="Times New Roman" w:cstheme="minorHAnsi"/>
          <w:sz w:val="20"/>
          <w:szCs w:val="20"/>
        </w:rPr>
      </w:pPr>
      <w:r w:rsidRPr="005F138D">
        <w:rPr>
          <w:rFonts w:eastAsia="Times New Roman" w:cstheme="minorHAnsi"/>
          <w:sz w:val="20"/>
          <w:szCs w:val="20"/>
        </w:rPr>
        <w:instrText xml:space="preserve">Approved Provider Number: </w:instrText>
      </w:r>
    </w:p>
    <w:p w:rsidR="00373A01"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sz w:val="20"/>
          <w:szCs w:val="20"/>
        </w:rPr>
        <w:instrText xml:space="preserve">CECs Awarded: </w:instrText>
      </w:r>
      <w:r w:rsidRPr="005F138D">
        <w:rPr>
          <w:rFonts w:eastAsia="Times New Roman" w:cstheme="minorHAnsi"/>
          <w:sz w:val="20"/>
          <w:szCs w:val="20"/>
        </w:rPr>
        <w:instrText>" ""</w:instrText>
      </w:r>
      <w:r w:rsidRPr="005F138D">
        <w:rPr>
          <w:rFonts w:eastAsia="Times New Roman" w:cstheme="minorHAnsi"/>
          <w:bCs/>
          <w:iCs/>
          <w:color w:val="000000"/>
          <w:sz w:val="20"/>
          <w:szCs w:val="20"/>
        </w:rPr>
        <w:instrText xml:space="preserve">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 xml:space="preserve"> &lt;&gt; ""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activity has been planned and implemented in accordance with the accreditation requirements and policies of the Florida Medical Association (FMA) through the joint providership of AdventHealth Orlando and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JointProvidershipName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«JointProvidershipName»</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AdventHealth Orlando is accredited by the FMA to provide continuing medical education for physicians.</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ActivityFormat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«ActivityFormat»</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w:instrText>
      </w:r>
      <w:r w:rsidRPr="007A518B" w:rsidR="007A518B">
        <w:rPr>
          <w:rFonts w:eastAsia="Times New Roman" w:cstheme="minorHAnsi"/>
          <w:bCs/>
          <w:iCs/>
          <w:color w:val="000000"/>
          <w:sz w:val="20"/>
          <w:szCs w:val="20"/>
        </w:rPr>
        <w:instrText>AMAPRAHours</w:instrText>
      </w:r>
      <w:r w:rsidR="007A518B">
        <w:rPr>
          <w:rFonts w:eastAsia="Times New Roman" w:cstheme="minorHAnsi"/>
          <w:bCs/>
          <w:iCs/>
          <w:color w:val="000000"/>
          <w:sz w:val="20"/>
          <w:szCs w:val="20"/>
        </w:rPr>
        <w:instrText>Max</w:instrText>
      </w:r>
      <w:r w:rsidR="00A53DAE">
        <w:rPr>
          <w:rFonts w:eastAsia="Times New Roman" w:cstheme="minorHAnsi"/>
          <w:bCs/>
          <w:iCs/>
          <w:color w:val="000000"/>
          <w:sz w:val="20"/>
          <w:szCs w:val="20"/>
        </w:rPr>
        <w:instrText xml:space="preserve"> </w:instrText>
      </w:r>
      <w:r w:rsidRPr="005F138D">
        <w:rPr>
          <w:rFonts w:eastAsia="Times New Roman" w:cstheme="minorHAnsi"/>
          <w:bCs/>
          <w:iCs/>
          <w:color w:val="000000"/>
          <w:sz w:val="20"/>
          <w:szCs w:val="20"/>
        </w:rPr>
        <w:instrText xml:space="preserve">\# 0.00#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«PhysicianMax»</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Physicians should claim</w:instrText>
      </w:r>
      <w:r w:rsidR="00CF3B02">
        <w:rPr>
          <w:rFonts w:eastAsia="Times New Roman" w:cstheme="minorHAnsi"/>
          <w:bCs/>
          <w:iCs/>
          <w:color w:val="000000"/>
          <w:sz w:val="20"/>
          <w:szCs w:val="20"/>
        </w:rPr>
        <w:instrText xml:space="preserve"> only</w:instrText>
      </w:r>
      <w:r w:rsidRPr="005F138D">
        <w:rPr>
          <w:rFonts w:eastAsia="Times New Roman" w:cstheme="minorHAnsi"/>
          <w:bCs/>
          <w:iCs/>
          <w:color w:val="000000"/>
          <w:sz w:val="20"/>
          <w:szCs w:val="20"/>
        </w:rPr>
        <w:instrText xml:space="preserve"> the credit commensurate with the extent of their participation in the activity."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 xml:space="preserve"> = ""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AdventHealth Orlando is accredited by the Florida Medical Association (FMA) to provide continuing medical education for physicians.</w:instrText>
      </w:r>
    </w:p>
    <w:p w:rsidR="00A44D74" w:rsidRPr="005F138D" w:rsidP="00373A01">
      <w:pPr>
        <w:tabs>
          <w:tab w:val="left" w:pos="6480"/>
        </w:tabs>
        <w:spacing w:before="120" w:after="0" w:line="240" w:lineRule="auto"/>
        <w:rPr>
          <w:rFonts w:eastAsia="Times New Roman" w:cstheme="minorHAnsi"/>
          <w:bCs/>
          <w:iCs/>
          <w:noProof/>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instrText>Live Activity</w:instrText>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xml:space="preserve">. Physicians should claim </w:instrText>
      </w:r>
      <w:r w:rsidR="00CF3B02">
        <w:rPr>
          <w:rFonts w:eastAsia="Times New Roman" w:cstheme="minorHAnsi"/>
          <w:bCs/>
          <w:iCs/>
          <w:color w:val="000000"/>
          <w:sz w:val="20"/>
          <w:szCs w:val="20"/>
        </w:rPr>
        <w:instrText xml:space="preserve">only </w:instrText>
      </w:r>
      <w:r w:rsidRPr="005F138D">
        <w:rPr>
          <w:rFonts w:eastAsia="Times New Roman" w:cstheme="minorHAnsi"/>
          <w:bCs/>
          <w:iCs/>
          <w:color w:val="000000"/>
          <w:sz w:val="20"/>
          <w:szCs w:val="20"/>
        </w:rPr>
        <w:instrText>the credit commensurate with the extent of their participation in the activity."</w:instrText>
      </w:r>
      <w:r w:rsidRPr="005F138D">
        <w:rPr>
          <w:rFonts w:eastAsia="Times New Roman" w:cstheme="minorHAnsi"/>
          <w:bCs/>
          <w:iCs/>
          <w:color w:val="000000"/>
          <w:sz w:val="20"/>
          <w:szCs w:val="20"/>
        </w:rPr>
        <w:fldChar w:fldCharType="separate"/>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AdventHealth Orlando is accredited by the Florida Medical Association (FMA) to provide continuing medical education for physicians.</w:instrText>
      </w:r>
    </w:p>
    <w:p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instrText>Live Activity</w:instrText>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xml:space="preserve">. Physicians should claim </w:instrText>
      </w:r>
      <w:r w:rsidR="00CF3B02">
        <w:rPr>
          <w:rFonts w:eastAsia="Times New Roman" w:cstheme="minorHAnsi"/>
          <w:bCs/>
          <w:iCs/>
          <w:color w:val="000000"/>
          <w:sz w:val="20"/>
          <w:szCs w:val="20"/>
        </w:rPr>
        <w:instrText xml:space="preserve">only </w:instrText>
      </w:r>
      <w:r w:rsidRPr="005F138D">
        <w:rPr>
          <w:rFonts w:eastAsia="Times New Roman" w:cstheme="minorHAnsi"/>
          <w:bCs/>
          <w:iCs/>
          <w:color w:val="000000"/>
          <w:sz w:val="20"/>
          <w:szCs w:val="20"/>
        </w:rPr>
        <w:instrText>the credit commensurate with the extent of their participation in the activity.</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separate"/>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t>American Medical Association (AMA)</w: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AdventHealth Orlando is accredited by the Florida Medical Association (FMA) to provide continuing medical education for physicians.</w:t>
      </w:r>
    </w:p>
    <w:p w:rsidR="00373A01"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 xml:space="preserve">AdventHealth Orlando designates this </w:t>
      </w:r>
      <w:r w:rsidRPr="005F138D">
        <w:rPr>
          <w:rFonts w:eastAsia="Times New Roman" w:cstheme="minorHAnsi"/>
          <w:bCs/>
          <w:iCs/>
          <w:color w:val="000000"/>
          <w:sz w:val="20"/>
          <w:szCs w:val="20"/>
        </w:rPr>
        <w:t>Live Activity</w:t>
      </w:r>
      <w:r w:rsidRPr="005F138D">
        <w:rPr>
          <w:rFonts w:eastAsia="Times New Roman" w:cstheme="minorHAnsi"/>
          <w:bCs/>
          <w:iCs/>
          <w:color w:val="000000"/>
          <w:sz w:val="20"/>
          <w:szCs w:val="20"/>
        </w:rPr>
        <w:t xml:space="preserve"> for a maximum of </w:t>
      </w:r>
      <w:r w:rsidRPr="005F138D">
        <w:rPr>
          <w:rFonts w:eastAsia="Times New Roman" w:cstheme="minorHAnsi"/>
          <w:bCs/>
          <w:iCs/>
          <w:color w:val="000000"/>
          <w:sz w:val="20"/>
          <w:szCs w:val="20"/>
        </w:rPr>
        <w:t>0.00</w:t>
      </w:r>
      <w:r w:rsidRPr="005F138D">
        <w:rPr>
          <w:rFonts w:eastAsia="Times New Roman" w:cstheme="minorHAnsi"/>
          <w:bCs/>
          <w:iCs/>
          <w:color w:val="000000"/>
          <w:sz w:val="20"/>
          <w:szCs w:val="20"/>
        </w:rPr>
        <w:t xml:space="preserve"> </w:t>
      </w:r>
      <w:r w:rsidRPr="005F138D">
        <w:rPr>
          <w:rFonts w:eastAsia="Times New Roman" w:cstheme="minorHAnsi"/>
          <w:bCs/>
          <w:i/>
          <w:color w:val="000000"/>
          <w:sz w:val="20"/>
          <w:szCs w:val="20"/>
        </w:rPr>
        <w:t>AMA PRA Category 1 Credit(s)™</w:t>
      </w:r>
      <w:r w:rsidRPr="005F138D">
        <w:rPr>
          <w:rFonts w:eastAsia="Times New Roman" w:cstheme="minorHAnsi"/>
          <w:bCs/>
          <w:iCs/>
          <w:color w:val="000000"/>
          <w:sz w:val="20"/>
          <w:szCs w:val="20"/>
        </w:rPr>
        <w:t xml:space="preserve">. Physicians should claim </w:t>
      </w:r>
      <w:r w:rsidR="00CF3B02">
        <w:rPr>
          <w:rFonts w:eastAsia="Times New Roman" w:cstheme="minorHAnsi"/>
          <w:bCs/>
          <w:iCs/>
          <w:color w:val="000000"/>
          <w:sz w:val="20"/>
          <w:szCs w:val="20"/>
        </w:rPr>
        <w:t xml:space="preserve">only </w:t>
      </w:r>
      <w:r w:rsidRPr="005F138D">
        <w:rPr>
          <w:rFonts w:eastAsia="Times New Roman" w:cstheme="minorHAnsi"/>
          <w:bCs/>
          <w:iCs/>
          <w:color w:val="000000"/>
          <w:sz w:val="20"/>
          <w:szCs w:val="20"/>
        </w:rPr>
        <w:t>the credit commensurate with the extent of their participation in the activity.</w:t>
      </w:r>
      <w:r w:rsidRPr="005F138D">
        <w:rPr>
          <w:rFonts w:eastAsia="Times New Roman" w:cstheme="minorHAnsi"/>
          <w:bCs/>
          <w:iCs/>
          <w:color w:val="000000"/>
          <w:sz w:val="20"/>
          <w:szCs w:val="20"/>
        </w:rPr>
        <w:fldChar w:fldCharType="end"/>
      </w:r>
      <w:r w:rsidRPr="005F138D">
        <w:rPr>
          <w:rFonts w:eastAsia="Times New Roman" w:cstheme="minorHAnsi"/>
          <w:color w:val="000000"/>
          <w:sz w:val="20"/>
          <w:szCs w:val="20"/>
        </w:rPr>
        <w:t xml:space="preserve"> </w:t>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color w:val="000000"/>
          <w:sz w:val="20"/>
          <w:szCs w:val="20"/>
        </w:rPr>
      </w:pPr>
      <w:r w:rsidRPr="005F138D">
        <w:rPr>
          <w:rFonts w:eastAsia="Times New Roman" w:cstheme="minorHAnsi"/>
          <w:b/>
          <w:bCs/>
          <w:color w:val="000000"/>
          <w:sz w:val="20"/>
          <w:szCs w:val="20"/>
        </w:rPr>
        <w:instrText>American Osteopathic Association (AOA)</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is accredited by the American Osteopathic Association to provide osteopathic continuing medical education for physicians.</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designates this program for a maximum of </w:instrText>
      </w:r>
      <w:r w:rsidRPr="005F138D">
        <w:rPr>
          <w:rFonts w:eastAsia="Times New Roman" w:cstheme="minorHAnsi"/>
          <w:color w:val="000000"/>
          <w:sz w:val="20"/>
          <w:szCs w:val="20"/>
        </w:rPr>
        <w:instrText xml:space="preserve"> AOA Category 1-A credits and will report CME and specialty credits commensurate with the extent of the physician's participation in this activity."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color w:val="000000"/>
          <w:sz w:val="20"/>
          <w:szCs w:val="20"/>
        </w:rPr>
      </w:pPr>
      <w:r w:rsidRPr="005F138D">
        <w:rPr>
          <w:rFonts w:eastAsia="Times New Roman" w:cstheme="minorHAnsi"/>
          <w:b/>
          <w:bCs/>
          <w:color w:val="000000"/>
          <w:sz w:val="20"/>
          <w:szCs w:val="20"/>
        </w:rPr>
        <w:instrText>American Osteopathic Association (AOA)</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is accredited by the American Osteopathic Association to provide osteopathic continuing medical education for physicians.</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designates this program for a maximum of </w:instrText>
      </w:r>
      <w:r w:rsidRPr="005F138D">
        <w:rPr>
          <w:rFonts w:eastAsia="Times New Roman" w:cstheme="minorHAnsi"/>
          <w:color w:val="000000"/>
          <w:sz w:val="20"/>
          <w:szCs w:val="20"/>
        </w:rPr>
        <w:instrText xml:space="preserve"> AOA Category 1-B credits and will report CME and specialty credits commensurate with the extent of the physician's participation in this activity."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59264"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2" name="Picture 2"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AdventHealth Orlando, </w:instrText>
      </w:r>
      <w:r w:rsidRPr="005F138D">
        <w:rPr>
          <w:rFonts w:eastAsia="Times New Roman" w:cstheme="minorHAnsi"/>
          <w:b/>
          <w:bCs/>
          <w:color w:val="000000"/>
          <w:sz w:val="20"/>
          <w:szCs w:val="20"/>
        </w:rPr>
        <w:instrText>(BOC AP #</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A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autoSpaceDE w:val="0"/>
        <w:autoSpaceDN w:val="0"/>
        <w:adjustRightInd w:val="0"/>
        <w:spacing w:after="120" w:line="240" w:lineRule="auto"/>
        <w:ind w:left="90" w:hanging="90"/>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60288"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3" name="Picture 3"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AdventHealth Orlando, </w:instrText>
      </w:r>
      <w:r w:rsidRPr="005F138D">
        <w:rPr>
          <w:rFonts w:eastAsia="Times New Roman" w:cstheme="minorHAnsi"/>
          <w:b/>
          <w:bCs/>
          <w:color w:val="000000"/>
          <w:sz w:val="20"/>
          <w:szCs w:val="20"/>
        </w:rPr>
        <w:instrText>(BOC AP #</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B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ind w:left="90" w:hanging="90"/>
        <w:rPr>
          <w:rFonts w:eastAsia="Times New Roman" w:cstheme="minorHAnsi"/>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spacing w:after="120" w:line="240" w:lineRule="auto"/>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61312"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4" name="Picture 4"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 AdventHealth Orlando, </w:instrText>
      </w:r>
      <w:r w:rsidRPr="005F138D">
        <w:rPr>
          <w:rFonts w:eastAsia="Times New Roman" w:cstheme="minorHAnsi"/>
          <w:b/>
          <w:bCs/>
          <w:color w:val="000000"/>
          <w:sz w:val="20"/>
          <w:szCs w:val="20"/>
        </w:rPr>
        <w:instrText>(BOC AP#</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C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color w:val="000000"/>
          <w:sz w:val="20"/>
          <w:szCs w:val="20"/>
        </w:rPr>
        <w:drawing>
          <wp:anchor distT="0" distB="0" distL="114300" distR="114300" simplePos="0" relativeHeight="251662336"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5" name="Picture 5"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 AdventHealth Orlando, </w:instrText>
      </w:r>
      <w:r w:rsidRPr="005F138D">
        <w:rPr>
          <w:rFonts w:eastAsia="Times New Roman" w:cstheme="minorHAnsi"/>
          <w:b/>
          <w:bCs/>
          <w:color w:val="000000"/>
          <w:sz w:val="20"/>
          <w:szCs w:val="20"/>
        </w:rPr>
        <w:instrText>(BOC AP#</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D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D52BE9" w:rsidRPr="005F138D" w:rsidP="00D52BE9">
      <w:pPr>
        <w:autoSpaceDE w:val="0"/>
        <w:autoSpaceDN w:val="0"/>
        <w:adjustRightInd w:val="0"/>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Board of Nursing</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The Florida Board of Nursing accepts a CE activity that has been approved by an agency that regulates a healthcare profession or discipline in Florida or another jurisdiction.</w:instrText>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t xml:space="preserve"> </w: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Occupational Therapy Section, Florida Occupational Therapy, Physical Therapy, and Athletic Trainers Board</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color w:val="000000"/>
          <w:sz w:val="20"/>
          <w:szCs w:val="20"/>
        </w:rPr>
        <w:instrText>AdventHealth Orlando</w:instrText>
      </w:r>
      <w:r w:rsidRPr="005F138D">
        <w:rPr>
          <w:rFonts w:eastAsia="Times New Roman" w:cstheme="minorHAnsi"/>
          <w:bCs/>
          <w:iCs/>
          <w:color w:val="000000"/>
          <w:sz w:val="20"/>
          <w:szCs w:val="20"/>
        </w:rPr>
        <w:instrText xml:space="preserve"> is approved, approval number </w:instrText>
      </w:r>
      <w:r w:rsidRPr="005F138D">
        <w:rPr>
          <w:rFonts w:eastAsia="Times New Roman" w:cstheme="minorHAnsi"/>
          <w:bCs/>
          <w:iCs/>
          <w:color w:val="000000"/>
          <w:sz w:val="20"/>
          <w:szCs w:val="20"/>
        </w:rPr>
        <w:instrText xml:space="preserve">, by the Occupational Therapy Section of the Florida Occupational Therapy, Physical Therapy, and Athletic Trainers Board to provide </w:instrText>
      </w:r>
      <w:r w:rsidRPr="005F138D">
        <w:rPr>
          <w:rFonts w:eastAsia="Times New Roman" w:cstheme="minorHAnsi"/>
          <w:bCs/>
          <w:iCs/>
          <w:color w:val="000000"/>
          <w:sz w:val="20"/>
          <w:szCs w:val="20"/>
        </w:rPr>
        <w:instrText xml:space="preserve"> contact hours of occupational therapy continuing education."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Physical Therapy Association</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color w:val="000000"/>
          <w:sz w:val="20"/>
          <w:szCs w:val="20"/>
        </w:rPr>
        <w:instrText>AdventHealth Orlando</w:instrText>
      </w:r>
      <w:r w:rsidRPr="005F138D">
        <w:rPr>
          <w:rFonts w:eastAsia="Times New Roman" w:cstheme="minorHAnsi"/>
          <w:bCs/>
          <w:iCs/>
          <w:color w:val="000000"/>
          <w:sz w:val="20"/>
          <w:szCs w:val="20"/>
        </w:rPr>
        <w:instrText xml:space="preserve"> is approved, approval number </w:instrText>
      </w:r>
      <w:r w:rsidRPr="005F138D">
        <w:rPr>
          <w:rFonts w:eastAsia="Times New Roman" w:cstheme="minorHAnsi"/>
          <w:bCs/>
          <w:iCs/>
          <w:color w:val="000000"/>
          <w:sz w:val="20"/>
          <w:szCs w:val="20"/>
        </w:rPr>
        <w:instrText xml:space="preserve">, by the Florida  Physical Therapy Association (OPTA) to provide </w:instrText>
      </w:r>
      <w:r w:rsidRPr="005F138D">
        <w:rPr>
          <w:rFonts w:eastAsia="Times New Roman" w:cstheme="minorHAnsi"/>
          <w:bCs/>
          <w:iCs/>
          <w:color w:val="000000"/>
          <w:sz w:val="20"/>
          <w:szCs w:val="20"/>
        </w:rPr>
        <w:instrText xml:space="preserve"> CE hours in Florida."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Board of Speech-Language Pathology and Audiology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event has been approved by the Florida Board of Speech-Language Pathology and Audiology for </w:instrText>
      </w:r>
      <w:r w:rsidRPr="005F138D">
        <w:rPr>
          <w:rFonts w:eastAsia="Times New Roman" w:cstheme="minorHAnsi"/>
          <w:bCs/>
          <w:iCs/>
          <w:color w:val="000000"/>
          <w:sz w:val="20"/>
          <w:szCs w:val="20"/>
        </w:rPr>
        <w:instrText xml:space="preserve"> clock hours of continuing education in the category that is specific to the clinical practice of speech-language pathology."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Anesthesiology MOCA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inline distT="0" distB="0" distL="0" distR="0">
            <wp:extent cx="2377440" cy="292243"/>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Id8"/>
                    <a:stretch>
                      <a:fillRect/>
                    </a:stretch>
                  </pic:blipFill>
                  <pic:spPr>
                    <a:xfrm>
                      <a:off x="0" y="0"/>
                      <a:ext cx="2377440" cy="292243"/>
                    </a:xfrm>
                    <a:prstGeom prst="rect">
                      <a:avLst/>
                    </a:prstGeom>
                  </pic:spPr>
                </pic:pic>
              </a:graphicData>
            </a:graphic>
          </wp:inline>
        </w:drawing>
      </w:r>
    </w:p>
    <w:p w:rsidR="00373A01" w:rsidRPr="005F138D" w:rsidP="00373A01">
      <w:pPr>
        <w:spacing w:before="120" w:after="360" w:line="240" w:lineRule="auto"/>
        <w:rPr>
          <w:rFonts w:eastAsia="Times New Roman" w:cstheme="minorHAnsi"/>
          <w:bCs/>
          <w:iCs/>
          <w:color w:val="000000"/>
          <w:sz w:val="20"/>
          <w:szCs w:val="20"/>
        </w:rPr>
      </w:pPr>
      <w:r w:rsidRPr="005F138D">
        <w:rPr>
          <w:rFonts w:eastAsia="Times New Roman" w:cstheme="minorHAnsi"/>
          <w:sz w:val="20"/>
          <w:szCs w:val="20"/>
        </w:rPr>
        <w:instrText>This activity contributes to the CME component of the American Board of Anesthesiology's redesigned Maintenance of Certification in Anesthesiology™ (MOCA®) program, known as MOCA 2.0</w:instrText>
      </w:r>
      <w:r w:rsidRPr="005F138D">
        <w:rPr>
          <w:rFonts w:eastAsia="Times New Roman" w:cstheme="minorHAnsi"/>
          <w:sz w:val="20"/>
          <w:szCs w:val="20"/>
          <w:vertAlign w:val="superscript"/>
        </w:rPr>
        <w:instrText>©</w:instrText>
      </w:r>
      <w:r w:rsidRPr="005F138D">
        <w:rPr>
          <w:rFonts w:eastAsia="Times New Roman" w:cstheme="minorHAnsi"/>
          <w:sz w:val="20"/>
          <w:szCs w:val="20"/>
        </w:rPr>
        <w:instrText xml:space="preserve">. Please consult the ABA website, </w:instrText>
      </w:r>
      <w:r>
        <w:fldChar w:fldCharType="begin"/>
      </w:r>
      <w:r>
        <w:instrText xml:space="preserve"> HYPERLINK "https://www.theaba.org/" </w:instrText>
      </w:r>
      <w:r>
        <w:fldChar w:fldCharType="separate"/>
      </w:r>
      <w:r w:rsidRPr="005F138D">
        <w:rPr>
          <w:rFonts w:eastAsia="Times New Roman" w:cstheme="minorHAnsi"/>
          <w:color w:val="0000FF"/>
          <w:sz w:val="20"/>
          <w:szCs w:val="20"/>
          <w:u w:val="single"/>
        </w:rPr>
        <w:instrText>www.theABA.org</w:instrText>
      </w:r>
      <w:r>
        <w:fldChar w:fldCharType="end"/>
      </w:r>
      <w:r w:rsidRPr="005F138D">
        <w:rPr>
          <w:rFonts w:eastAsia="Times New Roman" w:cstheme="minorHAnsi"/>
          <w:sz w:val="20"/>
          <w:szCs w:val="20"/>
        </w:rPr>
        <w:instrText xml:space="preserve">, for a list of all MOCA 2.0 requirements. </w:instrText>
      </w:r>
      <w:r w:rsidRPr="005F138D">
        <w:rPr>
          <w:rFonts w:eastAsia="Times New Roman" w:cstheme="minorHAnsi"/>
          <w:sz w:val="20"/>
          <w:szCs w:val="20"/>
        </w:rPr>
        <w:instrText xml:space="preserve"> points"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Anesthesiology MOCA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inline distT="0" distB="0" distL="0" distR="0">
            <wp:extent cx="2377440" cy="292243"/>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Id8"/>
                    <a:stretch>
                      <a:fillRect/>
                    </a:stretch>
                  </pic:blipFill>
                  <pic:spPr>
                    <a:xfrm>
                      <a:off x="0" y="0"/>
                      <a:ext cx="2377440" cy="292243"/>
                    </a:xfrm>
                    <a:prstGeom prst="rect">
                      <a:avLst/>
                    </a:prstGeom>
                  </pic:spPr>
                </pic:pic>
              </a:graphicData>
            </a:graphic>
          </wp:inline>
        </w:drawing>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activity offers up to </w:instrText>
      </w:r>
      <w:r w:rsidRPr="005F138D">
        <w:rPr>
          <w:rFonts w:eastAsia="Times New Roman" w:cstheme="minorHAnsi"/>
          <w:bCs/>
          <w:iCs/>
          <w:color w:val="000000"/>
          <w:sz w:val="20"/>
          <w:szCs w:val="20"/>
        </w:rPr>
        <w:instrText xml:space="preserve"> credits, which contributes to the pateint safety CME component of the American Board of Anesthesiology's redesigned Maintenance of Certification for Anesthesiology™ (MOCA®) program, known as MOCA 2.0®. Please consult the ABA website, www.theABA.org, for a list of all MOCA 2.0 requirements."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14400" cy="311899"/>
            <wp:effectExtent l="0" t="0" r="0" b="0"/>
            <wp:wrapSquare wrapText="bothSides"/>
            <wp:docPr id="10" name="Picture 1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899"/>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5408" behindDoc="0" locked="0" layoutInCell="1" allowOverlap="1">
            <wp:simplePos x="0" y="0"/>
            <wp:positionH relativeFrom="margin">
              <wp:align>left</wp:align>
            </wp:positionH>
            <wp:positionV relativeFrom="paragraph">
              <wp:posOffset>7620</wp:posOffset>
            </wp:positionV>
            <wp:extent cx="914400" cy="311899"/>
            <wp:effectExtent l="0" t="0" r="0" b="0"/>
            <wp:wrapSquare wrapText="bothSides"/>
            <wp:docPr id="8" name="Picture 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899"/>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6432" behindDoc="0" locked="0" layoutInCell="1" allowOverlap="1">
            <wp:simplePos x="0" y="0"/>
            <wp:positionH relativeFrom="margin">
              <wp:align>left</wp:align>
            </wp:positionH>
            <wp:positionV relativeFrom="paragraph">
              <wp:posOffset>7620</wp:posOffset>
            </wp:positionV>
            <wp:extent cx="914400" cy="311575"/>
            <wp:effectExtent l="0" t="0" r="0" b="0"/>
            <wp:wrapSquare wrapText="bothSides"/>
            <wp:docPr id="9" name="Picture 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575"/>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Ophthalmology MOC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instrText xml:space="preserve"> credit hours toward the Lifelong Learning requirement for the American Board of Ophthalmology's Continuing Certification program. It is the CME activity provider's </w:instrText>
      </w:r>
      <w:r w:rsidRPr="005F138D">
        <w:rPr>
          <w:rFonts w:eastAsia="Times New Roman" w:cstheme="minorHAnsi"/>
          <w:bCs/>
          <w:iCs/>
          <w:color w:val="000000"/>
          <w:sz w:val="20"/>
          <w:szCs w:val="20"/>
        </w:rPr>
        <w:instrText>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Ophthalmology MOC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instrText xml:space="preserve"> credit hours toward the Improvement in Medical Practice requirement for the American Board of Ophthalmology's Continuing Certification program. It is the CME activity provider's 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Ophthalmology MOC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MERFIELD ABOMOCP4HoursMax \# 0.00# </w:instrText>
      </w:r>
      <w:r>
        <w:fldChar w:fldCharType="separate"/>
      </w:r>
      <w:r w:rsidRPr="005F138D">
        <w:rPr>
          <w:rFonts w:eastAsia="Times New Roman" w:cstheme="minorHAnsi"/>
          <w:b/>
          <w:bCs/>
          <w:iCs/>
          <w:color w:val="000000"/>
          <w:sz w:val="20"/>
          <w:szCs w:val="20"/>
        </w:rPr>
        <w:instrText>Error! Bookmark not defined.</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hours toward the Patient Safety requirement for the American Board of Ophthalmology's Continuing Certification program. It is the CME activity provider's 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Ophthalmology MOC SAM</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MERFIELD ABOMOCP4HoursMax \# 0.00# </w:instrText>
      </w:r>
      <w:r>
        <w:fldChar w:fldCharType="separate"/>
      </w:r>
      <w:r w:rsidRPr="005F138D">
        <w:rPr>
          <w:rFonts w:eastAsia="Times New Roman" w:cstheme="minorHAnsi"/>
          <w:b/>
          <w:bCs/>
          <w:iCs/>
          <w:color w:val="000000"/>
          <w:sz w:val="20"/>
          <w:szCs w:val="20"/>
        </w:rPr>
        <w:instrText>Error! Bookmark not defined.</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hours toward the Self-Assessment requirement for the American Board of Ophthalmology's Continuing Certification program. It is the CME activity provider's responsibility to submit participant completion information to ACCME for the purpose of granting credit."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the required annual part II self-assessment credit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sidRPr="005F138D">
        <w:rPr>
          <w:rFonts w:eastAsia="Times New Roman" w:cstheme="minorHAnsi"/>
          <w:bCs/>
          <w:iCs/>
          <w:color w:val="000000"/>
          <w:sz w:val="20"/>
          <w:szCs w:val="20"/>
        </w:rPr>
        <w:instrText xml:space="preserve"> credits"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w:instrText>
      </w:r>
      <w:r w:rsidRPr="005F138D">
        <w:rPr>
          <w:rFonts w:eastAsia="Times New Roman" w:cstheme="minorHAnsi"/>
          <w:bCs/>
          <w:iCs/>
          <w:color w:val="000000"/>
          <w:sz w:val="20"/>
          <w:szCs w:val="20"/>
        </w:rPr>
        <w:instrText xml:space="preserve"> credit towards the improvement in medical practice requirement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w:instrText>
      </w:r>
      <w:r w:rsidRPr="005F138D">
        <w:rPr>
          <w:rFonts w:eastAsia="Times New Roman" w:cstheme="minorHAnsi"/>
          <w:bCs/>
          <w:iCs/>
          <w:color w:val="000000"/>
          <w:sz w:val="20"/>
          <w:szCs w:val="20"/>
        </w:rPr>
        <w:instrText xml:space="preserve"> credit towards the patient safety requirement in the American Board of Otolaryngology – Head and Neck Surgery’s Continuing Certification program (formerly known as MOC). It is the CME activity provider’s responsibility to submit participant completion information to ACCME for the purpose of recognizing participation."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Pediatrics MOC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up to </w:instrText>
      </w:r>
      <w:r w:rsidRPr="005F138D">
        <w:rPr>
          <w:rFonts w:eastAsia="Times New Roman" w:cstheme="minorHAnsi"/>
          <w:bCs/>
          <w:iCs/>
          <w:color w:val="000000"/>
          <w:sz w:val="20"/>
          <w:szCs w:val="20"/>
        </w:rPr>
        <w:instrText xml:space="preserve"> MOC points in the American Board of Pediatrics’ (ABP) Maintenance of Certification (MOC) program. It is the CME activity provider’s responsibility to submit participant completion information to ACCME for the purpose of granting ABP MOC credit.</w:instrText>
      </w:r>
      <w:r w:rsidRPr="005F138D">
        <w:rPr>
          <w:rFonts w:eastAsia="Times New Roman" w:cstheme="minorHAnsi"/>
          <w:noProof/>
          <w:sz w:val="24"/>
          <w:szCs w:val="24"/>
        </w:rPr>
        <w:drawing>
          <wp:anchor distT="0" distB="0" distL="182880" distR="114300" simplePos="0" relativeHeight="251667456" behindDoc="0" locked="0" layoutInCell="1" allowOverlap="1">
            <wp:simplePos x="0" y="0"/>
            <wp:positionH relativeFrom="margin">
              <wp:align>left</wp:align>
            </wp:positionH>
            <wp:positionV relativeFrom="paragraph">
              <wp:posOffset>6985</wp:posOffset>
            </wp:positionV>
            <wp:extent cx="457200" cy="457200"/>
            <wp:effectExtent l="0" t="0" r="0" b="0"/>
            <wp:wrapSquare wrapText="bothSides"/>
            <wp:docPr id="13" name="Picture 1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a:blip xmlns:r="http://schemas.openxmlformats.org/officeDocument/2006/relationships" r:embed="rId10"/>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Pathology Continuing Certification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towards the Lifelong Learning component in the American Board of Pathology’s (ABPath) Continuing Certification program. It is the CME activity provider’s responsibility to submit participant completion information to ACCME for the purpose of granting ABPath MOC credit.</w:instrText>
      </w:r>
      <w:r w:rsidRPr="005F138D">
        <w:rPr>
          <w:rFonts w:eastAsia="Times New Roman" w:cstheme="minorHAnsi"/>
          <w:noProof/>
          <w:sz w:val="24"/>
          <w:szCs w:val="24"/>
        </w:rPr>
        <w:drawing>
          <wp:anchor distT="0" distB="0" distL="182880" distR="114300" simplePos="0" relativeHeight="251668480" behindDoc="0" locked="0" layoutInCell="1" allowOverlap="1">
            <wp:simplePos x="0" y="0"/>
            <wp:positionH relativeFrom="margin">
              <wp:align>left</wp:align>
            </wp:positionH>
            <wp:positionV relativeFrom="paragraph">
              <wp:posOffset>7620</wp:posOffset>
            </wp:positionV>
            <wp:extent cx="731520" cy="499000"/>
            <wp:effectExtent l="0" t="0" r="0" b="0"/>
            <wp:wrapSquare wrapText="bothSides"/>
            <wp:docPr id="14" name="Picture 1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rotWithShape="1">
                    <a:blip xmlns:r="http://schemas.openxmlformats.org/officeDocument/2006/relationships" r:embed="rId11"/>
                    <a:srcRect r="8514" b="29283"/>
                    <a:stretch/>
                  </pic:blipFill>
                  <pic:spPr bwMode="auto">
                    <a:xfrm>
                      <a:off x="0" y="0"/>
                      <a:ext cx="731520" cy="499000"/>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Pathology Continuing Certification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69504" behindDoc="0" locked="0" layoutInCell="1" allowOverlap="1">
            <wp:simplePos x="0" y="0"/>
            <wp:positionH relativeFrom="margin">
              <wp:posOffset>17145</wp:posOffset>
            </wp:positionH>
            <wp:positionV relativeFrom="paragraph">
              <wp:posOffset>24130</wp:posOffset>
            </wp:positionV>
            <wp:extent cx="731520" cy="498475"/>
            <wp:effectExtent l="0" t="0" r="0" b="0"/>
            <wp:wrapSquare wrapText="bothSides"/>
            <wp:docPr id="16" name="Picture 1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rotWithShape="1">
                    <a:blip xmlns:r="http://schemas.openxmlformats.org/officeDocument/2006/relationships" r:embed="rId11"/>
                    <a:srcRect r="8514" b="29283"/>
                    <a:stretch/>
                  </pic:blipFill>
                  <pic:spPr bwMode="auto">
                    <a:xfrm>
                      <a:off x="0" y="0"/>
                      <a:ext cx="731520" cy="498475"/>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towards the Improvement in Medical Practice component in the American Board of Pathology’s (ABPath) Continuing Certification program. It is the CME activity provider’s responsibility to submit participant completion information to ACCME for the purpose of granting ABPath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Surgery Continuing Certification</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70528" behindDoc="0" locked="0" layoutInCell="1" allowOverlap="1">
            <wp:simplePos x="0" y="0"/>
            <wp:positionH relativeFrom="margin">
              <wp:posOffset>0</wp:posOffset>
            </wp:positionH>
            <wp:positionV relativeFrom="paragraph">
              <wp:posOffset>32014</wp:posOffset>
            </wp:positionV>
            <wp:extent cx="457200" cy="457200"/>
            <wp:effectExtent l="0" t="0" r="0" b="0"/>
            <wp:wrapSquare wrapText="bothSides"/>
            <wp:docPr id="17" name="Picture 17"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black, darkness&#10;&#10;Description automatically generated"/>
                    <pic:cNvPicPr/>
                  </pic:nvPicPr>
                  <pic:blipFill>
                    <a:blip xmlns:r="http://schemas.openxmlformats.org/officeDocument/2006/relationships" r:embed="rId12"/>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ABSCCHoursMax \# 0.00#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towards the CME requirement of the American Board of Surgery’s Continuous Certification program. It is the CME activity provider’s responsibility to submit learner completion information to ACCME for the purpose of granting ABS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Surgery Continuing Certification SAM</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71552" behindDoc="0" locked="0" layoutInCell="1" allowOverlap="1">
            <wp:simplePos x="0" y="0"/>
            <wp:positionH relativeFrom="margin">
              <wp:posOffset>0</wp:posOffset>
            </wp:positionH>
            <wp:positionV relativeFrom="paragraph">
              <wp:posOffset>24501</wp:posOffset>
            </wp:positionV>
            <wp:extent cx="457200" cy="457200"/>
            <wp:effectExtent l="0" t="0" r="0" b="0"/>
            <wp:wrapSquare wrapText="bothSides"/>
            <wp:docPr id="18" name="Picture 18"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black, darkness&#10;&#10;Description automatically generated"/>
                    <pic:cNvPicPr/>
                  </pic:nvPicPr>
                  <pic:blipFill>
                    <a:blip xmlns:r="http://schemas.openxmlformats.org/officeDocument/2006/relationships" r:embed="rId12"/>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ABSCCSAMHoursMax \# 0.00#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towards the Self-Assessment requirement of the American Board of Surgery’s Continuous Certification program. It is the CME activity provider’s responsibility to submit learner completion information to ACCME for the purpose of granting ABS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t>Other Healthcare Professionals</w: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Other healthcare professionals who participate in this activity may submit their statement of participation to their appropriate accrediting organizations or state boards for consideration of credit. Participants are responsible for determining whether this activity meets the requirements for acceptable continuing education.</w:t>
      </w:r>
    </w:p>
    <w:p w:rsidR="00373A01" w:rsidRPr="005F138D" w:rsidP="00373A01">
      <w:pPr>
        <w:spacing w:before="240" w:after="120" w:line="240" w:lineRule="auto"/>
        <w:rPr>
          <w:rFonts w:eastAsia="Times New Roman" w:cstheme="minorHAnsi"/>
          <w:b/>
          <w:iCs/>
          <w:color w:val="0073AE"/>
        </w:rPr>
      </w:pPr>
      <w:r w:rsidRPr="005F138D">
        <w:rPr>
          <w:rFonts w:eastAsia="Times New Roman" w:cstheme="minorHAnsi"/>
          <w:b/>
          <w:iCs/>
          <w:color w:val="0073AE"/>
        </w:rPr>
        <w:t>Disclosures:</w:t>
      </w:r>
    </w:p>
    <w:p w:rsidR="00373A01" w:rsidRPr="005F138D" w:rsidP="00373A01">
      <w:pPr>
        <w:spacing w:after="0" w:line="240" w:lineRule="auto"/>
        <w:rPr>
          <w:rFonts w:eastAsia="Times New Roman" w:cstheme="minorHAnsi"/>
          <w:sz w:val="20"/>
          <w:szCs w:val="20"/>
        </w:rPr>
      </w:pPr>
      <w:r w:rsidRPr="005F138D">
        <w:rPr>
          <w:rFonts w:eastAsia="Times New Roman" w:cstheme="minorHAnsi"/>
          <w:sz w:val="20"/>
          <w:szCs w:val="20"/>
        </w:rPr>
        <w:t>AdventHealth Orlando CME adheres to the ACCME’s Standards for Integrity and Independence in Accredited Continuing Education. Any individuals in a position to control the content of a CE activity, including faculty, planners, reviewers or others are required to disclose all relevant financial relationships with ineligible entities (commercial interests). All relevant conflicts of interest have been mitigated prior to the commencement of the activity.</w:t>
      </w:r>
    </w:p>
    <w:p w:rsidR="00373A01" w:rsidRPr="005F138D" w:rsidP="00373A01">
      <w:pPr>
        <w:spacing w:after="0" w:line="240" w:lineRule="auto"/>
        <w:rPr>
          <w:rFonts w:eastAsia="Times New Roman" w:cstheme="minorHAnsi"/>
          <w:iCs/>
          <w:sz w:val="20"/>
          <w:szCs w:val="20"/>
        </w:rPr>
      </w:pPr>
    </w:p>
    <w:p w:rsidR="00373A01" w:rsidRPr="005F138D" w:rsidP="00373A01">
      <w:pPr>
        <w:spacing w:after="120" w:line="240" w:lineRule="auto"/>
        <w:rPr>
          <w:rFonts w:eastAsia="Times New Roman" w:cstheme="minorHAnsi"/>
          <w:iCs/>
          <w:sz w:val="20"/>
          <w:szCs w:val="20"/>
        </w:rPr>
      </w:pPr>
      <w:r w:rsidRPr="005F138D">
        <w:rPr>
          <w:rFonts w:eastAsia="Times New Roman" w:cstheme="minorHAnsi"/>
          <w:iCs/>
          <w:sz w:val="20"/>
          <w:szCs w:val="20"/>
        </w:rPr>
        <w:t>The planners and faculty of this series have disclosed the following financial relationship(s) with ineligible companies/commercial interests:</w:t>
      </w: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781"/>
        <w:gridCol w:w="2781"/>
        <w:gridCol w:w="3708"/>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Mildred Abodakpi, BSN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- 04/30/2026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Brian Bebout,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Jason Cirolia, PT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David A. George, BSN, RN, CCRN-K</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Erica K. Jacques,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Camille Rey, MSN, BSN, RN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Korey M. Settle, MSN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 Nurse Planner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- 04/28/2026</w:t>
            </w:r>
          </w:p>
        </w:tc>
      </w:tr>
    </w:tbl>
    <w:p w:rsidR="00373A01" w:rsidRPr="005F138D">
      <w:pPr>
        <w:bidi w:val="0"/>
        <w:spacing w:after="280" w:afterAutospacing="1"/>
        <w:rPr>
          <w:rFonts w:eastAsia="Times New Roman" w:cstheme="minorHAnsi"/>
          <w:iCs/>
          <w:sz w:val="20"/>
          <w:szCs w:val="20"/>
        </w:rPr>
      </w:pPr>
    </w:p>
    <w:p w:rsidR="00F54A16" w:rsidRPr="005F138D">
      <w:pPr>
        <w:rPr>
          <w:rFonts w:cstheme="minorHAnsi"/>
        </w:rPr>
      </w:pPr>
    </w:p>
    <w:sectPr w:rsidSect="0064282E">
      <w:headerReference w:type="default" r:id="rId13"/>
      <w:footerReference w:type="default" r:id="rId14"/>
      <w:pgSz w:w="12240" w:h="15840"/>
      <w:pgMar w:top="144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188" w:rsidRPr="00D42503" w:rsidP="00D42503">
    <w:pPr>
      <w:rPr>
        <w:rFonts w:ascii="Calibri" w:hAnsi="Calibri" w:cs="Calibri"/>
        <w:color w:val="000000"/>
        <w:sz w:val="12"/>
      </w:rPr>
    </w:pPr>
    <w:r>
      <w:rPr>
        <w:rFonts w:ascii="Calibri" w:hAnsi="Calibri" w:cs="Calibri"/>
        <w:color w:val="000000"/>
        <w:sz w:val="12"/>
      </w:rPr>
      <w:t>AdventHealth Orlando</w:t>
    </w:r>
    <w:r w:rsidRPr="00A31FB2">
      <w:rPr>
        <w:rFonts w:ascii="Calibri" w:hAnsi="Calibri" w:cs="Calibri"/>
        <w:color w:val="000000"/>
        <w:sz w:val="12"/>
      </w:rPr>
      <w:t>. 202</w:t>
    </w:r>
    <w:r>
      <w:rPr>
        <w:rFonts w:ascii="Calibri" w:hAnsi="Calibri" w:cs="Calibri"/>
        <w:color w:val="000000"/>
        <w:sz w:val="12"/>
      </w:rPr>
      <w:t>3</w:t>
    </w:r>
    <w:r w:rsidRPr="00A31FB2">
      <w:rPr>
        <w:rFonts w:ascii="Calibri" w:hAnsi="Calibri" w:cs="Calibri"/>
        <w:color w:val="000000"/>
        <w:sz w:val="12"/>
      </w:rPr>
      <w:t xml:space="preserve">. All rights reserved. </w:t>
    </w:r>
    <w:r>
      <w:rPr>
        <w:rFonts w:ascii="Calibri" w:hAnsi="Calibri" w:cs="Calibri"/>
        <w:color w:val="000000"/>
        <w:sz w:val="12"/>
      </w:rPr>
      <w:t>06/272023</w:t>
    </w:r>
    <w:r w:rsidR="00373A01">
      <w:rPr>
        <w:noProof/>
      </w:rPr>
      <w:drawing>
        <wp:anchor distT="0" distB="0" distL="114300" distR="114300" simplePos="0" relativeHeight="251658240" behindDoc="0" locked="0" layoutInCell="1" allowOverlap="1">
          <wp:simplePos x="0" y="0"/>
          <wp:positionH relativeFrom="column">
            <wp:posOffset>5331853</wp:posOffset>
          </wp:positionH>
          <wp:positionV relativeFrom="line">
            <wp:align>center</wp:align>
          </wp:positionV>
          <wp:extent cx="1069848" cy="411480"/>
          <wp:effectExtent l="0" t="0" r="0" b="7620"/>
          <wp:wrapThrough wrapText="bothSides">
            <wp:wrapPolygon>
              <wp:start x="0" y="0"/>
              <wp:lineTo x="0" y="21000"/>
              <wp:lineTo x="21164" y="21000"/>
              <wp:lineTo x="21164" y="0"/>
              <wp:lineTo x="0" y="0"/>
            </wp:wrapPolygon>
          </wp:wrapThrough>
          <wp:docPr id="28" name="Picture 28" descr="A picture containing text, font, logo,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font, logo, graphics&#10;&#10;Description automatically generated"/>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069848" cy="411480"/>
                  </a:xfrm>
                  <a:prstGeom prst="rect">
                    <a:avLst/>
                  </a:prstGeom>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188" w:rsidP="00612DD0">
    <w:pPr>
      <w:pStyle w:val="Header"/>
      <w:jc w:val="right"/>
    </w:pPr>
    <w:r>
      <w:rPr>
        <w:noProof/>
      </w:rPr>
      <mc:AlternateContent>
        <mc:Choice Requires="wps">
          <w:drawing>
            <wp:anchor distT="0" distB="0" distL="114300" distR="114300" simplePos="0" relativeHeight="251659264" behindDoc="0" locked="0" layoutInCell="1" allowOverlap="1">
              <wp:simplePos x="0" y="0"/>
              <wp:positionH relativeFrom="column">
                <wp:posOffset>-1295400</wp:posOffset>
              </wp:positionH>
              <wp:positionV relativeFrom="paragraph">
                <wp:posOffset>-447675</wp:posOffset>
              </wp:positionV>
              <wp:extent cx="4610100" cy="933450"/>
              <wp:effectExtent l="0" t="0" r="57150" b="38100"/>
              <wp:wrapNone/>
              <wp:docPr id="19" name="Right Triangle 10"/>
              <wp:cNvGraphicFramePr/>
              <a:graphic xmlns:a="http://schemas.openxmlformats.org/drawingml/2006/main">
                <a:graphicData uri="http://schemas.microsoft.com/office/word/2010/wordprocessingShape">
                  <wps:wsp xmlns:wps="http://schemas.microsoft.com/office/word/2010/wordprocessingShape">
                    <wps:cNvSpPr/>
                    <wps:spPr>
                      <a:xfrm flipV="1">
                        <a:off x="0" y="0"/>
                        <a:ext cx="4610100" cy="933450"/>
                      </a:xfrm>
                      <a:prstGeom prst="rtTriangle">
                        <a:avLst/>
                      </a:prstGeom>
                      <a:solidFill>
                        <a:srgbClr val="81C342"/>
                      </a:solidFill>
                      <a:ln>
                        <a:solidFill>
                          <a:srgbClr val="81C3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Right Triangle 10" o:spid="_x0000_s2049" type="#_x0000_t6" style="flip:y;height:73.5pt;margin-left:-102pt;margin-top:-35.25pt;mso-wrap-distance-bottom:0;mso-wrap-distance-left:9pt;mso-wrap-distance-right:9pt;mso-wrap-distance-top:0;mso-wrap-style:square;position:absolute;v-text-anchor:middle;visibility:visible;width:363pt;z-index:251660288" fillcolor="#81c342" strokecolor="#81c342" strokeweight="1p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-1114425</wp:posOffset>
              </wp:positionH>
              <wp:positionV relativeFrom="paragraph">
                <wp:posOffset>-447675</wp:posOffset>
              </wp:positionV>
              <wp:extent cx="7953375" cy="933450"/>
              <wp:effectExtent l="38100" t="0" r="28575" b="38100"/>
              <wp:wrapNone/>
              <wp:docPr id="20" name="Right Triangle 11"/>
              <wp:cNvGraphicFramePr/>
              <a:graphic xmlns:a="http://schemas.openxmlformats.org/drawingml/2006/main">
                <a:graphicData uri="http://schemas.microsoft.com/office/word/2010/wordprocessingShape">
                  <wps:wsp xmlns:wps="http://schemas.microsoft.com/office/word/2010/wordprocessingShape">
                    <wps:cNvSpPr/>
                    <wps:spPr>
                      <a:xfrm flipH="1" flipV="1">
                        <a:off x="0" y="0"/>
                        <a:ext cx="7953375" cy="933450"/>
                      </a:xfrm>
                      <a:prstGeom prst="rtTriangle">
                        <a:avLst/>
                      </a:prstGeom>
                      <a:solidFill>
                        <a:srgbClr val="006298"/>
                      </a:solidFill>
                      <a:ln>
                        <a:solidFill>
                          <a:srgbClr val="00629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Triangle 11" o:spid="_x0000_s2050" type="#_x0000_t6" style="flip:x y;height:73.5pt;margin-left:-87.75pt;margin-top:-35.25pt;mso-wrap-distance-bottom:0;mso-wrap-distance-left:9pt;mso-wrap-distance-right:9pt;mso-wrap-distance-top:0;mso-wrap-style:square;position:absolute;v-text-anchor:middle;visibility:visible;width:626.25pt;z-index:251662336" fillcolor="#006298" strokecolor="#006298"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82109C0"/>
    <w:multiLevelType w:val="hybridMultilevel"/>
    <w:tmpl w:val="76B0E1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43"/>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3A0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373A01"/>
    <w:rPr>
      <w:rFonts w:ascii="Times New Roman" w:eastAsia="Times New Roman" w:hAnsi="Times New Roman" w:cs="Times New Roman"/>
      <w:sz w:val="24"/>
      <w:szCs w:val="24"/>
    </w:rPr>
  </w:style>
  <w:style w:type="paragraph" w:styleId="Footer">
    <w:name w:val="footer"/>
    <w:basedOn w:val="Normal"/>
    <w:link w:val="FooterChar"/>
    <w:rsid w:val="00373A0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373A01"/>
    <w:rPr>
      <w:rFonts w:ascii="Times New Roman" w:eastAsia="Times New Roman" w:hAnsi="Times New Roman" w:cs="Times New Roman"/>
      <w:sz w:val="24"/>
      <w:szCs w:val="24"/>
    </w:rPr>
  </w:style>
  <w:style w:type="table" w:styleId="TableGrid">
    <w:name w:val="Table Grid"/>
    <w:basedOn w:val="TableNormal"/>
    <w:rsid w:val="00C23C77"/>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39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jpeg" /><Relationship Id="rId11" Type="http://schemas.openxmlformats.org/officeDocument/2006/relationships/image" Target="media/image7.jpeg" /><Relationship Id="rId12" Type="http://schemas.openxmlformats.org/officeDocument/2006/relationships/image" Target="media/image8.png"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jpeg" /><Relationship Id="rId9" Type="http://schemas.openxmlformats.org/officeDocument/2006/relationships/image" Target="media/image5.jpeg" /></Relationships>
</file>

<file path=word/_rels/footer1.xml.rels>&#65279;<?xml version="1.0" encoding="utf-8" standalone="yes"?><Relationships xmlns="http://schemas.openxmlformats.org/package/2006/relationships"><Relationship Id="rId1" Type="http://schemas.openxmlformats.org/officeDocument/2006/relationships/image" Target="media/image9.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7E13F-EA20-6A45-9AE2-BE7388636D61}">
  <ds:schemaRefs>
    <ds:schemaRef ds:uri="http://schemas.openxmlformats.org/officeDocument/2006/bibliography"/>
  </ds:schemaRefs>
</ds:datastoreItem>
</file>

<file path=docMetadata/LabelInfo.xml><?xml version="1.0" encoding="utf-8"?>
<clbl:labelList xmlns:clbl="http://schemas.microsoft.com/office/2020/mipLabelMetadata">
  <clbl:label id="{be1b4fd9-5fce-4f73-b3dd-3005f9e18ec7}" enabled="0" method="" siteId="{be1b4fd9-5fce-4f73-b3dd-3005f9e18ec7}"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5</Pages>
  <Words>2437</Words>
  <Characters>15770</Characters>
  <Application>Microsoft Office Word</Application>
  <DocSecurity>0</DocSecurity>
  <Lines>426</Lines>
  <Paragraphs>337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Provenza, Virginia</dc:creator>
  <cp:lastModifiedBy>Millard, Beverly</cp:lastModifiedBy>
  <cp:revision>4</cp:revision>
  <dcterms:created xsi:type="dcterms:W3CDTF">2026-08-04T19:47:00Z</dcterms:created>
  <dcterms:modified xsi:type="dcterms:W3CDTF">2026-08-05T13:00:00Z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a9d3d8475ee131c641ef2594e5863ee0097e24b5508558100750eba4f7d2c98b</vt:lpwstr>
  </property>
</Properties>
</file>