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Navigating the Edge:  Medical, Legal, and Ethical Challenges at the End of Life (CFD)</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6/30/2026 7:30:00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24176</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AdventHealth Orlando</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pPr>
              <w:bidi w:val="0"/>
              <w:spacing w:after="280" w:afterAutospacing="1"/>
              <w:rPr>
                <w:rFonts w:cstheme="minorHAnsi"/>
                <w:iCs/>
                <w:noProof/>
              </w:rPr>
            </w:pPr>
            <w:r>
              <w:rPr>
                <w:rtl w:val="0"/>
              </w:rPr>
              <w:t>Join us as we step into the toughest decisions in medicine—where life, ethics, and law collide. Are you prepared to navigate end-of-life care when every choice matters?</w:t>
            </w:r>
          </w:p>
          <w:p w:rsidRPr="005F138D">
            <w:pPr>
              <w:bidi w:val="0"/>
              <w:spacing w:after="280" w:afterAutospacing="1"/>
              <w:rPr>
                <w:rFonts w:cstheme="minorHAnsi"/>
                <w:iCs/>
                <w:noProof/>
              </w:rPr>
            </w:pP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Describe legal standards and institutional policies related to end-of-life care, including DNR/POLST, brain death, ECMO, and organ donation.</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Apply ethical and legal frameworks to guide clinical decision-making in complex end-of-life scenarios.</w:instrText>
      </w:r>
    </w:p>
    <w:p w:rsidRPr="005F138D" w:rsidP="00602C5E">
      <w:pPr>
        <w:spacing w:after="120" w:line="240" w:lineRule="auto"/>
        <w:rPr>
          <w:rFonts w:eastAsia="Times New Roman" w:cstheme="minorHAnsi"/>
          <w:iCs/>
          <w:noProof/>
          <w:sz w:val="20"/>
          <w:szCs w:val="20"/>
        </w:rPr>
      </w:pP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Demonstrate effective communication strategies to manage disagreements and align care with patient goals.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4 Integrate institutional policies and interdisciplinary resources into end-of-life care planning to improve consistency in practice.</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Describe legal standards and institutional policies related to end-of-life care, including DNR/POLST, brain death, ECMO, and organ donation.</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Apply ethical and legal frameworks to guide clinical decision-making in complex end-of-life scenarios.</w:t>
      </w:r>
    </w:p>
    <w:p w:rsidRPr="005F138D" w:rsidP="00602C5E">
      <w:pPr>
        <w:spacing w:after="120" w:line="240" w:lineRule="auto"/>
        <w:rPr>
          <w:rFonts w:eastAsia="Times New Roman" w:cstheme="minorHAnsi"/>
          <w:iCs/>
          <w:noProof/>
          <w:sz w:val="20"/>
          <w:szCs w:val="20"/>
        </w:rPr>
      </w:pP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Demonstrate effective communication strategies to manage disagreements and align care with patient goals.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4 Integrate institutional policies and interdisciplinary resources into end-of-life care planning to improve consistency in practice.</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7.00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7.00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7.00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Mehul Desai,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- 06/09/2026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Kimberly Griggs, BSN,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Lexi Heller, 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Jose Montenegro, MDiv</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- 05/26/2026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Sandra L. Muse,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- 05/11/2026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Bobby N. Nibhanupudy,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Amay Parikh, MD, MBA, FACP</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- 11/07/2025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Vinit Patil,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- 06/05/2026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Clarissa Welbaum,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Fee-Fresenius Medical Care (Relationship has ended) - 05/28/2026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