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884D3A" w:rsidRPr="005F138D" w:rsidP="007C116A">
      <w:pPr>
        <w:spacing w:before="240" w:after="240" w:line="240" w:lineRule="auto"/>
        <w:jc w:val="center"/>
        <w:rPr>
          <w:rFonts w:eastAsia="Times New Roman" w:cstheme="minorHAnsi"/>
          <w:b/>
          <w:iCs/>
          <w:color w:val="0073AE"/>
          <w:sz w:val="32"/>
          <w:szCs w:val="32"/>
        </w:rPr>
      </w:pPr>
      <w:r w:rsidRPr="005F138D">
        <w:rPr>
          <w:rFonts w:eastAsia="Times New Roman" w:cstheme="minorHAnsi"/>
          <w:b/>
          <w:iCs/>
          <w:color w:val="0073AE"/>
          <w:sz w:val="32"/>
          <w:szCs w:val="32"/>
        </w:rPr>
        <w:t>2026 AdventHealth Patient Safety Academy 9/15/26</w:t>
      </w:r>
    </w:p>
    <w:tbl>
      <w:tblPr>
        <w:tblStyle w:val="TableGrid"/>
        <w:tblW w:w="0" w:type="auto"/>
        <w:tblBorders>
          <w:top w:val="nil"/>
          <w:left w:val="nil"/>
          <w:bottom w:val="nil"/>
          <w:right w:val="nil"/>
          <w:insideH w:val="nil"/>
          <w:insideV w:val="nil"/>
        </w:tblBorders>
        <w:tblLayout w:type="fixed"/>
        <w:tblLook w:val="04A0"/>
      </w:tblPr>
      <w:tblGrid>
        <w:gridCol w:w="1435"/>
        <w:gridCol w:w="4145"/>
        <w:gridCol w:w="1437"/>
        <w:gridCol w:w="2338"/>
      </w:tblGrid>
      <w:tr w:rsidTr="00B626F9">
        <w:tblPrEx>
          <w:tblW w:w="0" w:type="auto"/>
          <w:tblBorders>
            <w:top w:val="nil"/>
            <w:left w:val="nil"/>
            <w:bottom w:val="nil"/>
            <w:right w:val="nil"/>
            <w:insideH w:val="nil"/>
            <w:insideV w:val="nil"/>
          </w:tblBorders>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Date/Time:</w:t>
            </w:r>
          </w:p>
        </w:tc>
        <w:tc>
          <w:tcPr>
            <w:tcW w:w="4145" w:type="dxa"/>
          </w:tcPr>
          <w:p w:rsidR="00373A01" w:rsidRPr="005F138D" w:rsidP="00373A01">
            <w:pPr>
              <w:spacing w:before="60" w:after="60"/>
              <w:rPr>
                <w:rFonts w:cstheme="minorHAnsi"/>
                <w:b/>
                <w:iCs/>
                <w:color w:val="0073AE"/>
              </w:rPr>
            </w:pPr>
            <w:r w:rsidRPr="005F138D">
              <w:rPr>
                <w:rFonts w:cstheme="minorHAnsi"/>
                <w:iCs/>
                <w:noProof/>
              </w:rPr>
              <w:t>9/15/2026 8:00:00 AM</w:t>
            </w:r>
          </w:p>
        </w:tc>
        <w:tc>
          <w:tcPr>
            <w:tcW w:w="1437" w:type="dxa"/>
          </w:tcPr>
          <w:p w:rsidR="00373A01" w:rsidRPr="005F138D" w:rsidP="00373A01">
            <w:pPr>
              <w:spacing w:before="60" w:after="60"/>
              <w:rPr>
                <w:rFonts w:cstheme="minorHAnsi"/>
                <w:b/>
                <w:iCs/>
                <w:color w:val="0073AE"/>
              </w:rPr>
            </w:pPr>
            <w:r w:rsidRPr="005F138D">
              <w:rPr>
                <w:rFonts w:cstheme="minorHAnsi"/>
                <w:b/>
                <w:iCs/>
                <w:color w:val="0073AE"/>
              </w:rPr>
              <w:t>Activity ID:</w:t>
            </w:r>
          </w:p>
        </w:tc>
        <w:tc>
          <w:tcPr>
            <w:tcW w:w="2338" w:type="dxa"/>
          </w:tcPr>
          <w:p w:rsidR="00373A01" w:rsidRPr="005F138D" w:rsidP="00373A01">
            <w:pPr>
              <w:spacing w:before="60" w:after="60"/>
              <w:rPr>
                <w:rFonts w:cstheme="minorHAnsi"/>
                <w:b/>
                <w:iCs/>
                <w:color w:val="0073AE"/>
              </w:rPr>
            </w:pPr>
            <w:r w:rsidRPr="005F138D">
              <w:rPr>
                <w:rFonts w:cstheme="minorHAnsi"/>
                <w:b/>
                <w:iCs/>
                <w:color w:val="FF0000"/>
              </w:rPr>
              <w:t>22495</w:t>
            </w:r>
          </w:p>
        </w:tc>
      </w:tr>
      <w:tr w:rsidTr="00B626F9">
        <w:tblPrEx>
          <w:tblW w:w="0" w:type="auto"/>
          <w:tblLayout w:type="fixed"/>
          <w:tblLook w:val="04A0"/>
        </w:tblPrEx>
        <w:tc>
          <w:tcPr>
            <w:tcW w:w="1435" w:type="dxa"/>
          </w:tcPr>
          <w:p w:rsidR="00373A01" w:rsidRPr="005F138D" w:rsidP="00373A01">
            <w:pPr>
              <w:spacing w:before="60" w:after="60"/>
              <w:rPr>
                <w:rFonts w:cstheme="minorHAnsi"/>
                <w:b/>
                <w:iCs/>
                <w:color w:val="0073AE"/>
              </w:rPr>
            </w:pPr>
            <w:r w:rsidRPr="005F138D">
              <w:rPr>
                <w:rFonts w:cstheme="minorHAnsi"/>
                <w:b/>
                <w:iCs/>
                <w:color w:val="0073AE"/>
              </w:rPr>
              <w:t>Location:</w:t>
            </w:r>
          </w:p>
        </w:tc>
        <w:tc>
          <w:tcPr>
            <w:tcW w:w="7920" w:type="dxa"/>
            <w:gridSpan w:val="3"/>
          </w:tcPr>
          <w:p w:rsidR="00CF4608" w:rsidRPr="005F138D" w:rsidP="00373A01">
            <w:pPr>
              <w:spacing w:before="60" w:after="60"/>
              <w:rPr>
                <w:rFonts w:cstheme="minorHAnsi"/>
                <w:iCs/>
                <w:noProof/>
              </w:rPr>
            </w:pPr>
            <w:r w:rsidRPr="005F138D">
              <w:rPr>
                <w:rFonts w:cstheme="minorHAnsi"/>
                <w:iCs/>
                <w:noProof/>
              </w:rPr>
              <w:t>900 Hope Drive</w:t>
            </w:r>
          </w:p>
        </w:tc>
      </w:tr>
      <w:tr w:rsidTr="00B626F9">
        <w:tblPrEx>
          <w:tblW w:w="0" w:type="auto"/>
          <w:tblLayout w:type="fixed"/>
          <w:tblLook w:val="04A0"/>
        </w:tblPrEx>
        <w:tc>
          <w:tcPr>
            <w:tcW w:w="1435" w:type="dxa"/>
          </w:tcPr>
          <w:p w:rsidR="00CF4608" w:rsidRPr="005F138D" w:rsidP="00373A01">
            <w:pPr>
              <w:spacing w:before="60" w:after="60"/>
              <w:rPr>
                <w:rFonts w:cstheme="minorHAnsi"/>
                <w:b/>
                <w:iCs/>
                <w:color w:val="0073AE"/>
              </w:rPr>
            </w:pPr>
            <w:r w:rsidRPr="005F138D">
              <w:rPr>
                <w:rFonts w:cstheme="minorHAnsi"/>
                <w:b/>
                <w:iCs/>
                <w:color w:val="0073AE"/>
              </w:rPr>
              <w:t>Topic</w:t>
            </w:r>
          </w:p>
        </w:tc>
        <w:tc>
          <w:tcPr>
            <w:tcW w:w="7920" w:type="dxa"/>
            <w:gridSpan w:val="3"/>
          </w:tcPr>
          <w:p w:rsidR="00CF4608" w:rsidRPr="005F138D" w:rsidP="00373A01">
            <w:pPr>
              <w:spacing w:before="60" w:after="60"/>
              <w:rPr>
                <w:rFonts w:cstheme="minorHAnsi"/>
                <w:iCs/>
                <w:noProof/>
              </w:rPr>
            </w:pPr>
            <w:r>
              <w:rPr>
                <w:rtl w:val="0"/>
              </w:rPr>
              <w:t>The AdventHealth Patient Safety Academy is an interactive 3-day adult learning workshop designed to enhance patient safety practices through the High Reliability Healthcare Framework. The program includes a series of didactic sessions, discussions, and practicums that provide a comprehensive overview of the High Reliability Healthcare Framework. The curriculum explores the five key domains of the High Reliability Healthcare Framework; People, Leadership, Culture, Knowledge, and Learning Systems, with in-depth coverage of the domain components by subject-matter experts. In addition to exploring each domain in the High Reliability Healthcare Framework and diving deeper into the subdomains, the curriculum includes a section on well-being, #Feeling Whole. This segment addresses the significant prevalence of burnout among healthcare professionals, which has been show to impact both their well-being and the safety and quality of patient care provided. Presenting this information in a live, immersive, and interactive format allows for effective sharing of valuable content with leaders. The target audience of this activity is both clinical and non-clinical Executive Leaders, as well as leaders whose work focus is Patient Safety, Quality, and Risk Management. The training aims to equip healthcare professionals with the knowledge and skills necessary to implement the High Reliability Principles and Framework in their practices and model the implementation of this framework to their downline leaders. By doing so, it seeks to improve patient safety and satisfaction, ultimately contributing to the establishment of a safer and more reliable healthcare system.</w:t>
            </w:r>
          </w:p>
        </w:tc>
      </w:tr>
    </w:tbl>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Objectives:</w:t>
      </w:r>
    </w:p>
    <w:p w:rsidR="00805127" w:rsidRPr="005F138D" w:rsidP="00602C5E">
      <w:pPr>
        <w:spacing w:after="120" w:line="240" w:lineRule="auto"/>
        <w:rPr>
          <w:rFonts w:eastAsia="Times New Roman" w:cstheme="minorHAnsi"/>
          <w:bCs/>
          <w:iCs/>
          <w:sz w:val="20"/>
          <w:szCs w:val="20"/>
        </w:rPr>
      </w:pPr>
      <w:r w:rsidRPr="005F138D">
        <w:rPr>
          <w:rFonts w:eastAsia="Times New Roman" w:cstheme="minorHAnsi"/>
          <w:bCs/>
          <w:iCs/>
          <w:sz w:val="20"/>
          <w:szCs w:val="20"/>
        </w:rPr>
        <w:t>A</w:t>
      </w:r>
      <w:r w:rsidR="00C63AD9">
        <w:rPr>
          <w:rFonts w:eastAsia="Times New Roman" w:cstheme="minorHAnsi"/>
          <w:bCs/>
          <w:iCs/>
          <w:sz w:val="20"/>
          <w:szCs w:val="20"/>
        </w:rPr>
        <w:t>fter</w:t>
      </w:r>
      <w:r w:rsidRPr="005F138D">
        <w:rPr>
          <w:rFonts w:eastAsia="Times New Roman" w:cstheme="minorHAnsi"/>
          <w:bCs/>
          <w:iCs/>
          <w:sz w:val="20"/>
          <w:szCs w:val="20"/>
        </w:rPr>
        <w:t xml:space="preserve"> this activity, the participant will be able to:</w:t>
      </w:r>
    </w:p>
    <w:p w:rsidR="00810AC6"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IF </w:instrText>
      </w:r>
      <w:r w:rsidRPr="005F138D" w:rsidR="00373A01">
        <w:rPr>
          <w:rFonts w:eastAsia="Times New Roman" w:cstheme="minorHAnsi"/>
          <w:iCs/>
          <w:noProof/>
          <w:sz w:val="20"/>
          <w:szCs w:val="20"/>
        </w:rPr>
        <w:instrText>"</w:instrText>
      </w:r>
      <w:r w:rsidRPr="005F138D" w:rsidR="00373A01">
        <w:rPr>
          <w:rFonts w:eastAsia="Times New Roman" w:cstheme="minorHAnsi"/>
          <w:iCs/>
          <w:noProof/>
          <w:sz w:val="20"/>
          <w:szCs w:val="20"/>
        </w:rPr>
        <w:instrText>"</w:instrText>
      </w:r>
      <w:r w:rsidRPr="005F138D">
        <w:rPr>
          <w:rFonts w:eastAsia="Times New Roman" w:cstheme="minorHAnsi"/>
          <w:iCs/>
          <w:noProof/>
          <w:sz w:val="20"/>
          <w:szCs w:val="20"/>
        </w:rPr>
        <w:instrText xml:space="preserve"> &gt; 0 “</w:instrText>
      </w:r>
    </w:p>
    <w:p w:rsidR="00053340"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fldChar w:fldCharType="begin"/>
      </w:r>
      <w:r w:rsidRPr="005F138D">
        <w:rPr>
          <w:rFonts w:eastAsia="Times New Roman" w:cstheme="minorHAnsi"/>
          <w:iCs/>
          <w:noProof/>
          <w:sz w:val="20"/>
          <w:szCs w:val="20"/>
        </w:rPr>
        <w:instrText xml:space="preserve"> MERGEFIELD PharmObjectives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fldChar w:fldCharType="end"/>
      </w:r>
      <w:r w:rsidRPr="005F138D">
        <w:rPr>
          <w:rFonts w:eastAsia="Times New Roman" w:cstheme="minorHAnsi"/>
          <w:iCs/>
          <w:noProof/>
          <w:sz w:val="20"/>
          <w:szCs w:val="20"/>
        </w:rPr>
        <w:instrText>” “</w:instrText>
      </w:r>
      <w:r w:rsidRPr="005F138D">
        <w:rPr>
          <w:rFonts w:eastAsia="Times New Roman" w:cstheme="minorHAnsi"/>
          <w:iCs/>
          <w:noProof/>
          <w:sz w:val="20"/>
          <w:szCs w:val="20"/>
        </w:rPr>
        <w:instrText>1 Identify work settings with positive safety culture and those in need of leadership support for improvement.</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2 Apply ongoing proxy measures of patient safety culture (survey-data, near-miss reporting).</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 xml:space="preserve">3 Describe the multi-disciplinary, systematic performance improvement framework developed to improve patient outcomes and reduce risks associated with patient harm. </w:instrTex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instrText>4 State the skills that support learning system goals (including curiosity for non-judgmental learning, improvement and measurement methodologies, and reliable design principles).</w:instrText>
      </w:r>
      <w:r w:rsidRPr="005F138D">
        <w:rPr>
          <w:rFonts w:eastAsia="Times New Roman" w:cstheme="minorHAnsi"/>
          <w:iCs/>
          <w:noProof/>
          <w:sz w:val="20"/>
          <w:szCs w:val="20"/>
        </w:rPr>
        <w:instrText xml:space="preserve">” </w:instrText>
      </w:r>
      <w:r w:rsidRPr="005F138D">
        <w:rPr>
          <w:rFonts w:eastAsia="Times New Roman" w:cstheme="minorHAnsi"/>
          <w:iCs/>
          <w:noProof/>
          <w:sz w:val="20"/>
          <w:szCs w:val="20"/>
        </w:rPr>
        <w:fldChar w:fldCharType="separate"/>
      </w:r>
      <w:r w:rsidRPr="005F138D">
        <w:rPr>
          <w:rFonts w:eastAsia="Times New Roman" w:cstheme="minorHAnsi"/>
          <w:iCs/>
          <w:noProof/>
          <w:sz w:val="20"/>
          <w:szCs w:val="20"/>
        </w:rPr>
        <w:t>1 Identify work settings with positive safety culture and those in need of leadership support for improvement.</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2 Apply ongoing proxy measures of patient safety culture (survey-data, near-miss reporting).</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 xml:space="preserve">3 Describe the multi-disciplinary, systematic performance improvement framework developed to improve patient outcomes and reduce risks associated with patient harm. </w:t>
      </w:r>
    </w:p>
    <w:p w:rsidRPr="005F138D" w:rsidP="00602C5E">
      <w:pPr>
        <w:spacing w:after="120" w:line="240" w:lineRule="auto"/>
        <w:rPr>
          <w:rFonts w:eastAsia="Times New Roman" w:cstheme="minorHAnsi"/>
          <w:iCs/>
          <w:noProof/>
          <w:sz w:val="20"/>
          <w:szCs w:val="20"/>
        </w:rPr>
      </w:pPr>
      <w:r w:rsidRPr="005F138D">
        <w:rPr>
          <w:rFonts w:eastAsia="Times New Roman" w:cstheme="minorHAnsi"/>
          <w:iCs/>
          <w:noProof/>
          <w:sz w:val="20"/>
          <w:szCs w:val="20"/>
        </w:rPr>
        <w:t>4 State the skills that support learning system goals (including curiosity for non-judgmental learning, improvement and measurement methodologies, and reliable design principles).</w:t>
      </w:r>
      <w:r w:rsidRPr="005F138D">
        <w:rPr>
          <w:rFonts w:eastAsia="Times New Roman" w:cstheme="minorHAnsi"/>
          <w:iCs/>
          <w:noProof/>
          <w:sz w:val="20"/>
          <w:szCs w:val="20"/>
        </w:rPr>
        <w:fldChar w:fldCharType="end"/>
      </w:r>
    </w:p>
    <w:p w:rsidR="00373A01" w:rsidRPr="005F138D" w:rsidP="00053340">
      <w:pPr>
        <w:spacing w:after="120" w:line="240" w:lineRule="auto"/>
        <w:rPr>
          <w:rFonts w:eastAsia="Times New Roman" w:cstheme="minorHAnsi"/>
          <w:iCs/>
          <w:sz w:val="20"/>
          <w:szCs w:val="20"/>
        </w:rPr>
      </w:pPr>
      <w:r w:rsidRPr="005F138D">
        <w:rPr>
          <w:rFonts w:eastAsia="Times New Roman" w:cstheme="minorHAnsi"/>
          <w:b/>
          <w:iCs/>
          <w:color w:val="0073AE"/>
        </w:rPr>
        <w:t>Accreditation:</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Accreditation Council for Pharmacy Education (ACPE)</w:instrText>
      </w:r>
    </w:p>
    <w:p w:rsidR="00A44D74" w:rsidRPr="005F138D" w:rsidP="00053340">
      <w:pPr>
        <w:spacing w:after="120" w:line="240" w:lineRule="auto"/>
        <w:rPr>
          <w:rFonts w:eastAsia="Times New Roman" w:cstheme="minorHAnsi"/>
          <w:iCs/>
          <w:noProof/>
          <w:sz w:val="20"/>
          <w:szCs w:val="20"/>
        </w:rPr>
      </w:pPr>
      <w:r w:rsidRPr="005F138D">
        <w:rPr>
          <w:rFonts w:eastAsia="Times New Roman" w:cstheme="minorHAnsi"/>
          <w:bCs/>
          <w:noProof/>
          <w:szCs w:val="24"/>
        </w:rPr>
        <w:drawing>
          <wp:anchor distT="0" distB="0" distL="114300" distR="114300" simplePos="0" relativeHeight="251658240" behindDoc="1" locked="0" layoutInCell="1" allowOverlap="1">
            <wp:simplePos x="0" y="0"/>
            <wp:positionH relativeFrom="column">
              <wp:posOffset>3810</wp:posOffset>
            </wp:positionH>
            <wp:positionV relativeFrom="paragraph">
              <wp:posOffset>13640</wp:posOffset>
            </wp:positionV>
            <wp:extent cx="357505" cy="365760"/>
            <wp:effectExtent l="0" t="0" r="4445" b="0"/>
            <wp:wrapSquare wrapText="bothSides"/>
            <wp:docPr id="25" name="Picture 25" descr="A picture containing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4.png"/>
                    <pic:cNvPicPr/>
                  </pic:nvPicPr>
                  <pic:blipFill rotWithShape="1">
                    <a:blip xmlns:r="http://schemas.openxmlformats.org/officeDocument/2006/relationships" r:embed="rId5"/>
                    <a:srcRect l="10628" t="3007" b="9151"/>
                    <a:stretch/>
                  </pic:blipFill>
                  <pic:spPr bwMode="auto">
                    <a:xfrm>
                      <a:off x="0" y="0"/>
                      <a:ext cx="357505" cy="36576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This activity provides </w:instrText>
      </w:r>
      <w:r w:rsidRPr="005F138D">
        <w:rPr>
          <w:rFonts w:eastAsia="Times New Roman" w:cstheme="minorHAnsi"/>
          <w:bCs/>
          <w:iCs/>
          <w:color w:val="000000"/>
          <w:sz w:val="20"/>
          <w:szCs w:val="20"/>
        </w:rPr>
        <w:instrText xml:space="preserve"> contact hours of continuing education.</w:instrText>
      </w:r>
      <w:r w:rsidRPr="007A518B"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instrText xml:space="preserve">ACPE Universal Activity Number (UAN):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IF </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w:instrText>
      </w:r>
      <w:r w:rsidRPr="005F138D" w:rsidR="007A518B">
        <w:rPr>
          <w:rFonts w:eastAsia="Times New Roman" w:cstheme="minorHAnsi"/>
          <w:bCs/>
          <w:iCs/>
          <w:color w:val="000000"/>
          <w:sz w:val="20"/>
          <w:szCs w:val="20"/>
        </w:rPr>
        <w:instrText xml:space="preserve"> &lt;&gt; "" "Pharmacists: </w:instrText>
      </w:r>
      <w:r w:rsidRPr="005F138D" w:rsidR="007A518B">
        <w:rPr>
          <w:rFonts w:eastAsia="Times New Roman" w:cstheme="minorHAnsi"/>
          <w:bCs/>
          <w:iCs/>
          <w:color w:val="000000"/>
          <w:sz w:val="20"/>
          <w:szCs w:val="20"/>
        </w:rPr>
        <w:fldChar w:fldCharType="begin"/>
      </w:r>
      <w:r w:rsidRPr="005F138D" w:rsidR="007A518B">
        <w:rPr>
          <w:rFonts w:eastAsia="Times New Roman" w:cstheme="minorHAnsi"/>
          <w:bCs/>
          <w:iCs/>
          <w:color w:val="000000"/>
          <w:sz w:val="20"/>
          <w:szCs w:val="20"/>
        </w:rPr>
        <w:instrText xml:space="preserve"> MERGEFIELD ACPEPharmUAN </w:instrText>
      </w:r>
      <w:r w:rsidRPr="005F138D" w:rsidR="007A518B">
        <w:rPr>
          <w:rFonts w:eastAsia="Times New Roman" w:cstheme="minorHAnsi"/>
          <w:bCs/>
          <w:iCs/>
          <w:color w:val="000000"/>
          <w:sz w:val="20"/>
          <w:szCs w:val="20"/>
        </w:rPr>
        <w:fldChar w:fldCharType="separate"/>
      </w:r>
      <w:r w:rsidR="007A518B">
        <w:rPr>
          <w:rFonts w:eastAsia="Times New Roman" w:cstheme="minorHAnsi"/>
          <w:bCs/>
          <w:iCs/>
          <w:noProof/>
          <w:color w:val="000000"/>
          <w:sz w:val="20"/>
          <w:szCs w:val="20"/>
        </w:rPr>
        <w:instrText>«ACPEPharmUAN»</w:instrText>
      </w:r>
      <w:r w:rsidRPr="005F138D" w:rsidR="007A518B">
        <w:rPr>
          <w:rFonts w:eastAsia="Times New Roman" w:cstheme="minorHAnsi"/>
          <w:bCs/>
          <w:iCs/>
          <w:color w:val="000000"/>
          <w:sz w:val="20"/>
          <w:szCs w:val="20"/>
        </w:rPr>
        <w:fldChar w:fldCharType="end"/>
      </w:r>
      <w:r w:rsidRPr="005F138D" w:rsidR="007A518B">
        <w:rPr>
          <w:rFonts w:eastAsia="Times New Roman" w:cstheme="minorHAnsi"/>
          <w:bCs/>
          <w:iCs/>
          <w:color w:val="000000"/>
          <w:sz w:val="20"/>
          <w:szCs w:val="20"/>
        </w:rPr>
        <w:instrText xml:space="preserve">" " Technician: </w:instrText>
      </w:r>
      <w:r w:rsidRPr="005F138D" w:rsidR="007A518B">
        <w:rPr>
          <w:rFonts w:eastAsia="Times New Roman" w:cstheme="minorHAnsi"/>
          <w:bCs/>
          <w:iCs/>
          <w:color w:val="000000"/>
          <w:sz w:val="20"/>
          <w:szCs w:val="20"/>
        </w:rPr>
        <w:instrText xml:space="preserve">" </w:instrText>
      </w:r>
      <w:r w:rsidRPr="005F138D" w:rsidR="007A518B">
        <w:rPr>
          <w:rFonts w:eastAsia="Times New Roman" w:cstheme="minorHAnsi"/>
          <w:bCs/>
          <w:iCs/>
          <w:color w:val="000000"/>
          <w:sz w:val="20"/>
          <w:szCs w:val="20"/>
        </w:rPr>
        <w:fldChar w:fldCharType="separate"/>
      </w:r>
      <w:r w:rsidRPr="005F138D" w:rsidR="007A518B">
        <w:rPr>
          <w:rFonts w:eastAsia="Times New Roman" w:cstheme="minorHAnsi"/>
          <w:bCs/>
          <w:iCs/>
          <w:color w:val="000000"/>
          <w:sz w:val="20"/>
          <w:szCs w:val="20"/>
        </w:rPr>
        <w:instrText xml:space="preserve"> Technician: </w:instrText>
      </w:r>
      <w:r w:rsidRPr="005F138D" w:rsidR="007A518B">
        <w:rPr>
          <w:rFonts w:eastAsia="Times New Roman" w:cstheme="minorHAnsi"/>
          <w:bCs/>
          <w:iCs/>
          <w:color w:val="000000"/>
          <w:sz w:val="20"/>
          <w:szCs w:val="20"/>
        </w:rPr>
        <w:fldChar w:fldCharType="end"/>
      </w:r>
      <w:r w:rsidR="007A518B">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sidR="00373A01">
        <w:rPr>
          <w:rFonts w:eastAsia="Times New Roman" w:cstheme="minorHAnsi"/>
          <w:bCs/>
          <w:iCs/>
          <w:color w:val="000000"/>
          <w:sz w:val="20"/>
          <w:szCs w:val="20"/>
        </w:rPr>
        <w:fldChar w:fldCharType="end"/>
      </w:r>
      <w:r w:rsidRPr="005F138D" w:rsidR="009A1B2A">
        <w:rPr>
          <w:rFonts w:eastAsia="Times New Roman" w:cstheme="minorHAnsi"/>
          <w:bCs/>
          <w:iCs/>
          <w:color w:val="000000"/>
          <w:sz w:val="20"/>
          <w:szCs w:val="20"/>
        </w:rPr>
        <w:t xml:space="preserve"> </w:t>
      </w:r>
      <w:r w:rsidRPr="005F138D" w:rsidR="00373A01">
        <w:rPr>
          <w:rFonts w:eastAsia="Times New Roman" w:cstheme="minorHAnsi"/>
          <w:bCs/>
          <w:iCs/>
          <w:color w:val="000000"/>
          <w:sz w:val="20"/>
          <w:szCs w:val="20"/>
        </w:rPr>
        <w:fldChar w:fldCharType="begin"/>
      </w:r>
      <w:r w:rsidRPr="005F138D" w:rsidR="00373A01">
        <w:rPr>
          <w:rFonts w:eastAsia="Times New Roman" w:cstheme="minorHAnsi"/>
          <w:bCs/>
          <w:iCs/>
          <w:color w:val="000000"/>
          <w:sz w:val="20"/>
          <w:szCs w:val="20"/>
        </w:rPr>
        <w:instrText xml:space="preserve"> IF </w:instrText>
      </w:r>
      <w:r w:rsidRPr="005F138D" w:rsidR="00373A01">
        <w:rPr>
          <w:rFonts w:eastAsia="Times New Roman" w:cstheme="minorHAnsi"/>
          <w:bCs/>
          <w:iCs/>
          <w:color w:val="000000"/>
          <w:sz w:val="20"/>
          <w:szCs w:val="20"/>
        </w:rPr>
        <w:instrText>0.00</w:instrText>
      </w:r>
      <w:r w:rsidRPr="005F138D" w:rsidR="00373A01">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College of Sports Medicine (ACSM)</w:instrText>
      </w:r>
    </w:p>
    <w:p w:rsidR="00373A01" w:rsidRPr="005F138D" w:rsidP="00373A01">
      <w:pPr>
        <w:spacing w:after="0" w:line="240" w:lineRule="auto"/>
        <w:rPr>
          <w:rFonts w:eastAsia="Times New Roman" w:cstheme="minorHAnsi"/>
          <w:sz w:val="20"/>
          <w:szCs w:val="20"/>
        </w:rPr>
      </w:pPr>
      <w:r w:rsidRPr="005F138D">
        <w:rPr>
          <w:rFonts w:eastAsia="Times New Roman" w:cstheme="minorHAnsi"/>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9195</wp:posOffset>
            </wp:positionV>
            <wp:extent cx="365760" cy="357505"/>
            <wp:effectExtent l="0" t="0" r="0" b="4445"/>
            <wp:wrapSquare wrapText="bothSides"/>
            <wp:docPr id="6" name="Picture 6" descr="A picture containing metalware,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etalware, chain&#10;&#10;Description automatically generated"/>
                    <pic:cNvPicPr/>
                  </pic:nvPicPr>
                  <pic:blipFill>
                    <a:blip xmlns:r="http://schemas.openxmlformats.org/officeDocument/2006/relationships" r:embed="rId6"/>
                    <a:stretch>
                      <a:fillRect/>
                    </a:stretch>
                  </pic:blipFill>
                  <pic:spPr>
                    <a:xfrm>
                      <a:off x="0" y="0"/>
                      <a:ext cx="365760" cy="357505"/>
                    </a:xfrm>
                    <a:prstGeom prst="rect">
                      <a:avLst/>
                    </a:prstGeom>
                  </pic:spPr>
                </pic:pic>
              </a:graphicData>
            </a:graphic>
          </wp:anchor>
        </w:drawing>
      </w:r>
      <w:r w:rsidRPr="005F138D">
        <w:rPr>
          <w:rFonts w:eastAsia="Times New Roman" w:cstheme="minorHAnsi"/>
          <w:sz w:val="20"/>
          <w:szCs w:val="20"/>
        </w:rPr>
        <w:instrText>The American College of Sports Medicine’s Professional Education Committee certifies that AdventHealth Orlando meets the criteria for official ACSM Approved Provider status from 2021-2023.</w:instrText>
      </w:r>
    </w:p>
    <w:p w:rsidR="00373A01" w:rsidRPr="005F138D" w:rsidP="00373A01">
      <w:pPr>
        <w:spacing w:after="0" w:line="240" w:lineRule="auto"/>
        <w:jc w:val="both"/>
        <w:rPr>
          <w:rFonts w:eastAsia="Times New Roman" w:cstheme="minorHAnsi"/>
          <w:sz w:val="20"/>
          <w:szCs w:val="20"/>
        </w:rPr>
      </w:pPr>
    </w:p>
    <w:p w:rsidR="00373A01" w:rsidRPr="005F138D" w:rsidP="00373A01">
      <w:pPr>
        <w:tabs>
          <w:tab w:val="left" w:pos="6480"/>
        </w:tabs>
        <w:spacing w:after="0" w:line="240" w:lineRule="auto"/>
        <w:rPr>
          <w:rFonts w:eastAsia="Times New Roman" w:cstheme="minorHAnsi"/>
          <w:sz w:val="20"/>
          <w:szCs w:val="20"/>
        </w:rPr>
      </w:pPr>
      <w:r w:rsidRPr="005F138D">
        <w:rPr>
          <w:rFonts w:eastAsia="Times New Roman" w:cstheme="minorHAnsi"/>
          <w:sz w:val="20"/>
          <w:szCs w:val="20"/>
        </w:rPr>
        <w:instrText xml:space="preserve">Approved Provider Number: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w:instrText>
      </w:r>
      <w:r w:rsidRPr="005F138D">
        <w:rPr>
          <w:rFonts w:eastAsia="Times New Roman" w:cstheme="minorHAnsi"/>
          <w:sz w:val="20"/>
          <w:szCs w:val="20"/>
          <w:u w:val="single"/>
        </w:rPr>
        <w:fldChar w:fldCharType="end"/>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sz w:val="20"/>
          <w:szCs w:val="20"/>
        </w:rPr>
        <w:instrText xml:space="preserve">CECs Awarded: </w:instrText>
      </w:r>
      <w:r w:rsidRPr="005F138D">
        <w:rPr>
          <w:rFonts w:eastAsia="Times New Roman" w:cstheme="minorHAnsi"/>
          <w:sz w:val="20"/>
          <w:szCs w:val="20"/>
          <w:u w:val="single"/>
        </w:rPr>
        <w:fldChar w:fldCharType="begin"/>
      </w:r>
      <w:r w:rsidRPr="005F138D">
        <w:rPr>
          <w:rFonts w:eastAsia="Times New Roman" w:cstheme="minorHAnsi"/>
          <w:sz w:val="20"/>
          <w:szCs w:val="20"/>
          <w:u w:val="single"/>
        </w:rPr>
        <w:instrText xml:space="preserve"> MERGEFIELD  ACSMHoursMax \# 0.00# </w:instrText>
      </w:r>
      <w:r w:rsidRPr="005F138D">
        <w:rPr>
          <w:rFonts w:eastAsia="Times New Roman" w:cstheme="minorHAnsi"/>
          <w:sz w:val="20"/>
          <w:szCs w:val="20"/>
          <w:u w:val="single"/>
        </w:rPr>
        <w:fldChar w:fldCharType="separate"/>
      </w:r>
      <w:r w:rsidRPr="005F138D">
        <w:rPr>
          <w:rFonts w:eastAsia="Times New Roman" w:cstheme="minorHAnsi"/>
          <w:noProof/>
          <w:sz w:val="20"/>
          <w:szCs w:val="20"/>
          <w:u w:val="single"/>
        </w:rPr>
        <w:instrText>«ACSMHoursMax»</w:instrText>
      </w:r>
      <w:r w:rsidRPr="005F138D">
        <w:rPr>
          <w:rFonts w:eastAsia="Times New Roman" w:cstheme="minorHAnsi"/>
          <w:sz w:val="20"/>
          <w:szCs w:val="20"/>
          <w:u w:val="single"/>
        </w:rPr>
        <w:fldChar w:fldCharType="end"/>
      </w:r>
      <w:r w:rsidRPr="005F138D">
        <w:rPr>
          <w:rFonts w:eastAsia="Times New Roman" w:cstheme="minorHAnsi"/>
          <w:sz w:val="20"/>
          <w:szCs w:val="20"/>
        </w:rPr>
        <w:instrText>" ""</w:instrText>
      </w:r>
      <w:r w:rsidRPr="005F138D">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&lt;&gt;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has been planned and implemented in accordance with the accreditation requirements and policies of the Florida Medical Association (FMA) through the joint providership of AdventHealth Orlando and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JointProvidershipName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«JointProvidershipName»</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AdventHealth Orlando is accredited by the FMA to provide continuing medical education for physicians.</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ActivityFormat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«ActivityFormat»</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w:instrText>
      </w:r>
      <w:r w:rsidRPr="007A518B" w:rsidR="007A518B">
        <w:rPr>
          <w:rFonts w:eastAsia="Times New Roman" w:cstheme="minorHAnsi"/>
          <w:bCs/>
          <w:iCs/>
          <w:color w:val="000000"/>
          <w:sz w:val="20"/>
          <w:szCs w:val="20"/>
        </w:rPr>
        <w:instrText>AMAPRAHours</w:instrText>
      </w:r>
      <w:r w:rsidR="007A518B">
        <w:rPr>
          <w:rFonts w:eastAsia="Times New Roman" w:cstheme="minorHAnsi"/>
          <w:bCs/>
          <w:iCs/>
          <w:color w:val="000000"/>
          <w:sz w:val="20"/>
          <w:szCs w:val="20"/>
        </w:rPr>
        <w:instrText>Max</w:instrText>
      </w:r>
      <w:r w:rsidR="00A53DAE">
        <w:rPr>
          <w:rFonts w:eastAsia="Times New Roman" w:cstheme="minorHAnsi"/>
          <w:bCs/>
          <w:iCs/>
          <w:color w:val="000000"/>
          <w:sz w:val="20"/>
          <w:szCs w:val="20"/>
        </w:rPr>
        <w:instrText xml:space="preserve"> </w:instrText>
      </w:r>
      <w:r w:rsidRPr="005F138D">
        <w:rPr>
          <w:rFonts w:eastAsia="Times New Roman" w:cstheme="minorHAnsi"/>
          <w:bCs/>
          <w:iCs/>
          <w:color w:val="000000"/>
          <w:sz w:val="20"/>
          <w:szCs w:val="20"/>
        </w:rPr>
        <w:instrText xml:space="preserve">\# 0.00# </w:instrText>
      </w:r>
      <w:r w:rsidRPr="005F138D">
        <w:rPr>
          <w:rFonts w:eastAsia="Times New Roman" w:cstheme="minorHAnsi"/>
          <w:bCs/>
          <w:iCs/>
          <w:color w:val="000000"/>
          <w:sz w:val="20"/>
          <w:szCs w:val="20"/>
        </w:rPr>
        <w:fldChar w:fldCharType="separate"/>
      </w:r>
      <w:r w:rsidR="00A44D74">
        <w:rPr>
          <w:rFonts w:eastAsia="Times New Roman" w:cstheme="minorHAnsi"/>
          <w:bCs/>
          <w:iCs/>
          <w:noProof/>
          <w:color w:val="000000"/>
          <w:sz w:val="20"/>
          <w:szCs w:val="20"/>
        </w:rPr>
        <w:instrText>«PhysicianMax»</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Physicians should claim</w:instrText>
      </w:r>
      <w:r w:rsidR="00CF3B02">
        <w:rPr>
          <w:rFonts w:eastAsia="Times New Roman" w:cstheme="minorHAnsi"/>
          <w:bCs/>
          <w:iCs/>
          <w:color w:val="000000"/>
          <w:sz w:val="20"/>
          <w:szCs w:val="20"/>
        </w:rPr>
        <w:instrText xml:space="preserve"> only</w:instrText>
      </w:r>
      <w:r w:rsidRPr="005F138D">
        <w:rPr>
          <w:rFonts w:eastAsia="Times New Roman" w:cstheme="minorHAnsi"/>
          <w:bCs/>
          <w:iCs/>
          <w:color w:val="000000"/>
          <w:sz w:val="20"/>
          <w:szCs w:val="20"/>
        </w:rPr>
        <w:instrText xml:space="preserve"> the credit commensurate with the extent of their participation in the activity."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w:instrText>
      </w:r>
      <w:r w:rsidRPr="005F138D">
        <w:rPr>
          <w:rFonts w:eastAsia="Times New Roman" w:cstheme="minorHAnsi"/>
          <w:bCs/>
          <w:iCs/>
          <w:color w:val="000000"/>
          <w:sz w:val="20"/>
          <w:szCs w:val="20"/>
        </w:rPr>
        <w:instrText xml:space="preserve"> = ""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00A44D74" w:rsidRPr="005F138D" w:rsidP="00373A01">
      <w:pPr>
        <w:tabs>
          <w:tab w:val="left" w:pos="6480"/>
        </w:tabs>
        <w:spacing w:before="120" w:after="0" w:line="240" w:lineRule="auto"/>
        <w:rPr>
          <w:rFonts w:eastAsia="Times New Roman" w:cstheme="minorHAnsi"/>
          <w:bCs/>
          <w:iCs/>
          <w:noProof/>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16.25</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Medical Association (AMA)</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AdventHealth Orlando is accredited by the Florida Medical Association (FMA) to provide continuing medical education for physicians.</w:instrText>
      </w:r>
    </w:p>
    <w:p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AdventHealth Orlando designates this </w:instrText>
      </w:r>
      <w:r w:rsidRPr="005F138D">
        <w:rPr>
          <w:rFonts w:eastAsia="Times New Roman" w:cstheme="minorHAnsi"/>
          <w:bCs/>
          <w:iCs/>
          <w:color w:val="000000"/>
          <w:sz w:val="20"/>
          <w:szCs w:val="20"/>
        </w:rPr>
        <w:instrText>Live Activity</w:instrText>
      </w:r>
      <w:r w:rsidRPr="005F138D">
        <w:rPr>
          <w:rFonts w:eastAsia="Times New Roman" w:cstheme="minorHAnsi"/>
          <w:bCs/>
          <w:iCs/>
          <w:color w:val="000000"/>
          <w:sz w:val="20"/>
          <w:szCs w:val="20"/>
        </w:rPr>
        <w:instrText xml:space="preserve"> for a maximum of </w:instrText>
      </w:r>
      <w:r w:rsidRPr="005F138D">
        <w:rPr>
          <w:rFonts w:eastAsia="Times New Roman" w:cstheme="minorHAnsi"/>
          <w:bCs/>
          <w:iCs/>
          <w:color w:val="000000"/>
          <w:sz w:val="20"/>
          <w:szCs w:val="20"/>
        </w:rPr>
        <w:instrText>16.25</w:instrText>
      </w:r>
      <w:r w:rsidRPr="005F138D">
        <w:rPr>
          <w:rFonts w:eastAsia="Times New Roman" w:cstheme="minorHAnsi"/>
          <w:bCs/>
          <w:iCs/>
          <w:color w:val="000000"/>
          <w:sz w:val="20"/>
          <w:szCs w:val="20"/>
        </w:rPr>
        <w:instrText xml:space="preserve"> </w:instrText>
      </w:r>
      <w:r w:rsidRPr="005F138D">
        <w:rPr>
          <w:rFonts w:eastAsia="Times New Roman" w:cstheme="minorHAnsi"/>
          <w:bCs/>
          <w:i/>
          <w:color w:val="000000"/>
          <w:sz w:val="20"/>
          <w:szCs w:val="20"/>
        </w:rPr>
        <w:instrText>AMA PRA Category 1 Credit(s)™</w:instrText>
      </w:r>
      <w:r w:rsidRPr="005F138D">
        <w:rPr>
          <w:rFonts w:eastAsia="Times New Roman" w:cstheme="minorHAnsi"/>
          <w:bCs/>
          <w:iCs/>
          <w:color w:val="000000"/>
          <w:sz w:val="20"/>
          <w:szCs w:val="20"/>
        </w:rPr>
        <w:instrText xml:space="preserve">. Physicians should claim </w:instrText>
      </w:r>
      <w:r w:rsidR="00CF3B02">
        <w:rPr>
          <w:rFonts w:eastAsia="Times New Roman" w:cstheme="minorHAnsi"/>
          <w:bCs/>
          <w:iCs/>
          <w:color w:val="000000"/>
          <w:sz w:val="20"/>
          <w:szCs w:val="20"/>
        </w:rPr>
        <w:instrText xml:space="preserve">only </w:instrText>
      </w:r>
      <w:r w:rsidRPr="005F138D">
        <w:rPr>
          <w:rFonts w:eastAsia="Times New Roman" w:cstheme="minorHAnsi"/>
          <w:bCs/>
          <w:iCs/>
          <w:color w:val="000000"/>
          <w:sz w:val="20"/>
          <w:szCs w:val="20"/>
        </w:rPr>
        <w:instrText>the credit commensurate with the extent of their participation in the activity.</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separate"/>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American Medical Association (AMA)</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AdventHealth Orlando is accredited by the Florida Medical Association (FMA) to provide continuing medical education for physicians.</w:t>
      </w:r>
    </w:p>
    <w:p w:rsidR="00373A01" w:rsidRPr="005F138D" w:rsidP="00373A01">
      <w:pPr>
        <w:tabs>
          <w:tab w:val="left" w:pos="6480"/>
        </w:tabs>
        <w:spacing w:before="120" w:after="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 xml:space="preserve">AdventHealth Orlando designates this </w:t>
      </w:r>
      <w:r w:rsidRPr="005F138D">
        <w:rPr>
          <w:rFonts w:eastAsia="Times New Roman" w:cstheme="minorHAnsi"/>
          <w:bCs/>
          <w:iCs/>
          <w:color w:val="000000"/>
          <w:sz w:val="20"/>
          <w:szCs w:val="20"/>
        </w:rPr>
        <w:t>Live Activity</w:t>
      </w:r>
      <w:r w:rsidRPr="005F138D">
        <w:rPr>
          <w:rFonts w:eastAsia="Times New Roman" w:cstheme="minorHAnsi"/>
          <w:bCs/>
          <w:iCs/>
          <w:color w:val="000000"/>
          <w:sz w:val="20"/>
          <w:szCs w:val="20"/>
        </w:rPr>
        <w:t xml:space="preserve"> for a maximum of </w:t>
      </w:r>
      <w:r w:rsidRPr="005F138D">
        <w:rPr>
          <w:rFonts w:eastAsia="Times New Roman" w:cstheme="minorHAnsi"/>
          <w:bCs/>
          <w:iCs/>
          <w:color w:val="000000"/>
          <w:sz w:val="20"/>
          <w:szCs w:val="20"/>
        </w:rPr>
        <w:t>16.25</w:t>
      </w:r>
      <w:r w:rsidRPr="005F138D">
        <w:rPr>
          <w:rFonts w:eastAsia="Times New Roman" w:cstheme="minorHAnsi"/>
          <w:bCs/>
          <w:iCs/>
          <w:color w:val="000000"/>
          <w:sz w:val="20"/>
          <w:szCs w:val="20"/>
        </w:rPr>
        <w:t xml:space="preserve"> </w:t>
      </w:r>
      <w:r w:rsidRPr="005F138D">
        <w:rPr>
          <w:rFonts w:eastAsia="Times New Roman" w:cstheme="minorHAnsi"/>
          <w:bCs/>
          <w:i/>
          <w:color w:val="000000"/>
          <w:sz w:val="20"/>
          <w:szCs w:val="20"/>
        </w:rPr>
        <w:t>AMA PRA Category 1 Credit(s)™</w:t>
      </w:r>
      <w:r w:rsidRPr="005F138D">
        <w:rPr>
          <w:rFonts w:eastAsia="Times New Roman" w:cstheme="minorHAnsi"/>
          <w:bCs/>
          <w:iCs/>
          <w:color w:val="000000"/>
          <w:sz w:val="20"/>
          <w:szCs w:val="20"/>
        </w:rPr>
        <w:t xml:space="preserve">. Physicians should claim </w:t>
      </w:r>
      <w:r w:rsidR="00CF3B02">
        <w:rPr>
          <w:rFonts w:eastAsia="Times New Roman" w:cstheme="minorHAnsi"/>
          <w:bCs/>
          <w:iCs/>
          <w:color w:val="000000"/>
          <w:sz w:val="20"/>
          <w:szCs w:val="20"/>
        </w:rPr>
        <w:t xml:space="preserve">only </w:t>
      </w:r>
      <w:r w:rsidRPr="005F138D">
        <w:rPr>
          <w:rFonts w:eastAsia="Times New Roman" w:cstheme="minorHAnsi"/>
          <w:bCs/>
          <w:iCs/>
          <w:color w:val="000000"/>
          <w:sz w:val="20"/>
          <w:szCs w:val="20"/>
        </w:rPr>
        <w:t>the credit commensurate with the extent of their participation in the activity.</w:t>
      </w:r>
      <w:r w:rsidRPr="005F138D">
        <w:rPr>
          <w:rFonts w:eastAsia="Times New Roman" w:cstheme="minorHAnsi"/>
          <w:bCs/>
          <w:iCs/>
          <w:color w:val="000000"/>
          <w:sz w:val="20"/>
          <w:szCs w:val="20"/>
        </w:rPr>
        <w:fldChar w:fldCharType="end"/>
      </w:r>
      <w:r w:rsidRPr="005F138D">
        <w:rPr>
          <w:rFonts w:eastAsia="Times New Roman" w:cstheme="minorHAnsi"/>
          <w:color w:val="000000"/>
          <w:sz w:val="20"/>
          <w:szCs w:val="20"/>
        </w:rPr>
        <w:t xml:space="preserve"> </w: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1-A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color w:val="000000"/>
          <w:sz w:val="20"/>
          <w:szCs w:val="20"/>
        </w:rPr>
      </w:pPr>
      <w:r w:rsidRPr="005F138D">
        <w:rPr>
          <w:rFonts w:eastAsia="Times New Roman" w:cstheme="minorHAnsi"/>
          <w:b/>
          <w:bCs/>
          <w:color w:val="000000"/>
          <w:sz w:val="20"/>
          <w:szCs w:val="20"/>
        </w:rPr>
        <w:instrText>American Osteopathic Association (AOA)</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is accredited by the American Osteopathic Association to provide osteopathic continuing medical education for physicians.</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bCs/>
          <w:iCs/>
          <w:color w:val="000000"/>
          <w:sz w:val="20"/>
          <w:szCs w:val="20"/>
        </w:rPr>
        <w:instrText>AdventHealth Orlando</w:instrText>
      </w:r>
      <w:r w:rsidRPr="005F138D">
        <w:rPr>
          <w:rFonts w:eastAsia="Times New Roman" w:cstheme="minorHAnsi"/>
          <w:color w:val="000000"/>
          <w:sz w:val="20"/>
          <w:szCs w:val="20"/>
        </w:rPr>
        <w:instrText xml:space="preserve"> designates this program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AOA1BHoursMax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AOA Category 1-B credits and will report CME and specialty credits commensurate with the extent of the physician's participation in this activity."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2" name="Picture 2"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ATBOCAHoursMax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A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autoSpaceDE w:val="0"/>
        <w:autoSpaceDN w:val="0"/>
        <w:adjustRightInd w:val="0"/>
        <w:spacing w:after="120" w:line="240" w:lineRule="auto"/>
        <w:ind w:left="90" w:hanging="90"/>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3" name="Picture 3"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AdventHealth Orlando, </w:instrText>
      </w:r>
      <w:r w:rsidRPr="005F138D">
        <w:rPr>
          <w:rFonts w:eastAsia="Times New Roman" w:cstheme="minorHAnsi"/>
          <w:b/>
          <w:bCs/>
          <w:color w:val="000000"/>
          <w:sz w:val="20"/>
          <w:szCs w:val="20"/>
        </w:rPr>
        <w:instrText>(BOC AP #</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ATBOCBHoursMax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B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autoSpaceDE w:val="0"/>
        <w:autoSpaceDN w:val="0"/>
        <w:adjustRightInd w:val="0"/>
        <w:spacing w:before="240" w:after="120" w:line="240" w:lineRule="auto"/>
        <w:ind w:left="90" w:hanging="90"/>
        <w:rPr>
          <w:rFonts w:eastAsia="Times New Roman" w:cstheme="minorHAnsi"/>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color w:val="000000"/>
          <w:sz w:val="20"/>
          <w:szCs w:val="20"/>
        </w:rPr>
      </w:pPr>
      <w:r w:rsidRPr="005F138D">
        <w:rPr>
          <w:rFonts w:eastAsia="Times New Roman" w:cstheme="minorHAnsi"/>
          <w:noProof/>
          <w:color w:val="000000"/>
          <w:sz w:val="20"/>
          <w:szCs w:val="20"/>
        </w:rPr>
        <w:drawing>
          <wp:anchor distT="0" distB="0" distL="114300" distR="114300" simplePos="0" relativeHeight="251661312"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4" name="Picture 4"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ATBOCCHoursMax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C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IF </w:instrText>
      </w:r>
      <w:r w:rsidRPr="005F138D">
        <w:rPr>
          <w:rFonts w:eastAsia="Times New Roman" w:cstheme="minorHAnsi"/>
          <w:color w:val="000000"/>
          <w:sz w:val="20"/>
          <w:szCs w:val="20"/>
        </w:rPr>
        <w:instrText>0.00</w:instrText>
      </w:r>
      <w:r w:rsidRPr="005F138D">
        <w:rPr>
          <w:rFonts w:eastAsia="Times New Roman" w:cstheme="minorHAnsi"/>
          <w:color w:val="000000"/>
          <w:sz w:val="20"/>
          <w:szCs w:val="20"/>
        </w:rPr>
        <w:instrText xml:space="preserve"> &gt; 0 "</w:instrText>
      </w:r>
    </w:p>
    <w:p w:rsidR="00373A01" w:rsidRPr="005F138D" w:rsidP="00373A01">
      <w:pPr>
        <w:spacing w:before="240" w:after="120" w:line="240" w:lineRule="auto"/>
        <w:rPr>
          <w:rFonts w:eastAsia="Times New Roman" w:cstheme="minorHAnsi"/>
          <w:b/>
          <w:bCs/>
          <w:color w:val="000000"/>
          <w:sz w:val="20"/>
          <w:szCs w:val="20"/>
        </w:rPr>
      </w:pPr>
      <w:r w:rsidRPr="005F138D">
        <w:rPr>
          <w:rFonts w:eastAsia="Times New Roman" w:cstheme="minorHAnsi"/>
          <w:b/>
          <w:bCs/>
          <w:color w:val="000000"/>
          <w:sz w:val="20"/>
          <w:szCs w:val="20"/>
        </w:rPr>
        <w:instrText>Board of Certification for the Athletic Trainer</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color w:val="000000"/>
          <w:sz w:val="20"/>
          <w:szCs w:val="20"/>
        </w:rPr>
        <w:drawing>
          <wp:anchor distT="0" distB="0" distL="114300" distR="114300" simplePos="0" relativeHeight="251662336" behindDoc="0" locked="0" layoutInCell="1" allowOverlap="1">
            <wp:simplePos x="0" y="0"/>
            <wp:positionH relativeFrom="column">
              <wp:posOffset>0</wp:posOffset>
            </wp:positionH>
            <wp:positionV relativeFrom="paragraph">
              <wp:posOffset>2540</wp:posOffset>
            </wp:positionV>
            <wp:extent cx="365760" cy="369074"/>
            <wp:effectExtent l="0" t="0" r="0" b="0"/>
            <wp:wrapSquare wrapText="bothSides"/>
            <wp:docPr id="5" name="Picture 5" descr="A blue circle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circle with white text&#10;&#10;Description automatically generated with medium confidence"/>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pic:blipFill>
                  <pic:spPr bwMode="auto">
                    <a:xfrm>
                      <a:off x="0" y="0"/>
                      <a:ext cx="365760" cy="369074"/>
                    </a:xfrm>
                    <a:prstGeom prst="rect">
                      <a:avLst/>
                    </a:prstGeom>
                    <a:noFill/>
                  </pic:spPr>
                </pic:pic>
              </a:graphicData>
            </a:graphic>
          </wp:anchor>
        </w:drawing>
      </w:r>
      <w:r w:rsidRPr="005F138D">
        <w:rPr>
          <w:rFonts w:eastAsia="Times New Roman" w:cstheme="minorHAnsi"/>
          <w:color w:val="000000"/>
          <w:sz w:val="20"/>
          <w:szCs w:val="20"/>
        </w:rPr>
        <w:instrText xml:space="preserve"> AdventHealth Orlando, </w:instrText>
      </w:r>
      <w:r w:rsidRPr="005F138D">
        <w:rPr>
          <w:rFonts w:eastAsia="Times New Roman" w:cstheme="minorHAnsi"/>
          <w:b/>
          <w:bCs/>
          <w:color w:val="000000"/>
          <w:sz w:val="20"/>
          <w:szCs w:val="20"/>
        </w:rPr>
        <w:instrText>(BOC AP#</w:instrText>
      </w:r>
      <w:r w:rsidRPr="005F138D">
        <w:rPr>
          <w:rFonts w:eastAsia="Times New Roman" w:cstheme="minorHAnsi"/>
          <w:b/>
          <w:bCs/>
          <w:color w:val="000000"/>
          <w:sz w:val="20"/>
          <w:szCs w:val="20"/>
        </w:rPr>
        <w:fldChar w:fldCharType="begin"/>
      </w:r>
      <w:r w:rsidRPr="005F138D">
        <w:rPr>
          <w:rFonts w:eastAsia="Times New Roman" w:cstheme="minorHAnsi"/>
          <w:b/>
          <w:bCs/>
          <w:color w:val="000000"/>
          <w:sz w:val="20"/>
          <w:szCs w:val="20"/>
        </w:rPr>
        <w:instrText xml:space="preserve"> MERGEFIELD BOCAP \* MERGEFORMAT </w:instrText>
      </w:r>
      <w:r w:rsidRPr="005F138D">
        <w:rPr>
          <w:rFonts w:eastAsia="Times New Roman" w:cstheme="minorHAnsi"/>
          <w:b/>
          <w:bCs/>
          <w:color w:val="000000"/>
          <w:sz w:val="20"/>
          <w:szCs w:val="20"/>
        </w:rPr>
        <w:fldChar w:fldCharType="separate"/>
      </w:r>
      <w:r w:rsidRPr="005F138D">
        <w:rPr>
          <w:rFonts w:eastAsia="Times New Roman" w:cstheme="minorHAnsi"/>
          <w:b/>
          <w:bCs/>
          <w:color w:val="000000"/>
          <w:sz w:val="20"/>
          <w:szCs w:val="20"/>
        </w:rPr>
        <w:fldChar w:fldCharType="end"/>
      </w:r>
      <w:r w:rsidRPr="005F138D">
        <w:rPr>
          <w:rFonts w:eastAsia="Times New Roman" w:cstheme="minorHAnsi"/>
          <w:b/>
          <w:bCs/>
          <w:color w:val="000000"/>
          <w:sz w:val="20"/>
          <w:szCs w:val="20"/>
        </w:rPr>
        <w:instrText>)</w:instrText>
      </w:r>
      <w:r w:rsidRPr="005F138D">
        <w:rPr>
          <w:rFonts w:eastAsia="Times New Roman" w:cstheme="minorHAnsi"/>
          <w:color w:val="000000"/>
          <w:sz w:val="20"/>
          <w:szCs w:val="20"/>
        </w:rPr>
        <w:instrText xml:space="preserve">, is approved by the Board of Certification, Inc. to provide continuing education for Athletic Trainers. This program is eligible for a maximum of </w:instrText>
      </w:r>
      <w:r w:rsidRPr="005F138D">
        <w:rPr>
          <w:rFonts w:eastAsia="Times New Roman" w:cstheme="minorHAnsi"/>
          <w:color w:val="000000"/>
          <w:sz w:val="20"/>
          <w:szCs w:val="20"/>
        </w:rPr>
        <w:fldChar w:fldCharType="begin"/>
      </w:r>
      <w:r w:rsidRPr="005F138D">
        <w:rPr>
          <w:rFonts w:eastAsia="Times New Roman" w:cstheme="minorHAnsi"/>
          <w:color w:val="000000"/>
          <w:sz w:val="20"/>
          <w:szCs w:val="20"/>
        </w:rPr>
        <w:instrText xml:space="preserve"> MERGEFIELD ATBOCDHoursMax \# 0.00#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color w:val="000000"/>
          <w:sz w:val="20"/>
          <w:szCs w:val="20"/>
        </w:rPr>
        <w:instrText xml:space="preserve"> Category D hours/CEUs. ATs should claim only those hours actually spent in the educational program." "" </w:instrText>
      </w:r>
      <w:r w:rsidRPr="005F138D">
        <w:rPr>
          <w:rFonts w:eastAsia="Times New Roman" w:cstheme="minorHAnsi"/>
          <w:color w:val="000000"/>
          <w:sz w:val="20"/>
          <w:szCs w:val="20"/>
        </w:rPr>
        <w:fldChar w:fldCharType="separate"/>
      </w:r>
      <w:r w:rsidRPr="005F138D">
        <w:rPr>
          <w:rFonts w:eastAsia="Times New Roman" w:cstheme="minorHAnsi"/>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D52BE9" w:rsidRPr="005F138D" w:rsidP="00D52BE9">
      <w:pPr>
        <w:autoSpaceDE w:val="0"/>
        <w:autoSpaceDN w:val="0"/>
        <w:adjustRightInd w:val="0"/>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Nursing</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The Florida Board of Nursing accepts a CE activity that has been approved by an agency that regulates a healthcare profession or discipline in Florida or another jurisdiction.</w:instrText>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t xml:space="preserve"> </w: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Occupational Therapy Section, Florida Occupational Therapy, Physical Therapy, and Athletic Trainers Board</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Occupational Therapy Section of the Florida Occupational Therapy, Physical Therapy, and Athletic Trainers Board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OTPTATBHoursMax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contact hours of occupational therapy continuing education."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Physical Therapy Association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color w:val="000000"/>
          <w:sz w:val="20"/>
          <w:szCs w:val="20"/>
        </w:rPr>
        <w:instrText>AdventHealth Orlando</w:instrText>
      </w:r>
      <w:r w:rsidRPr="005F138D">
        <w:rPr>
          <w:rFonts w:eastAsia="Times New Roman" w:cstheme="minorHAnsi"/>
          <w:bCs/>
          <w:iCs/>
          <w:color w:val="000000"/>
          <w:sz w:val="20"/>
          <w:szCs w:val="20"/>
        </w:rPr>
        <w:instrText xml:space="preserve"> is approved, approval number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by the Florida  Physical Therapy Association (OPTA) to provide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OPTAHoursMax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CE hours in Florida."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Florida Board of Speech-Language Pathology and Audiology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event has been approved by the Florida Board of Speech-Language Pathology and Audiology for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OHSLPAHoursMax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clock hours of continuing education in the category that is specific to the clinical practice of speech-language pathology."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Anesthesiology MOCA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before="120" w:after="360" w:line="240" w:lineRule="auto"/>
        <w:rPr>
          <w:rFonts w:eastAsia="Times New Roman" w:cstheme="minorHAnsi"/>
          <w:bCs/>
          <w:iCs/>
          <w:color w:val="000000"/>
          <w:sz w:val="20"/>
          <w:szCs w:val="20"/>
        </w:rPr>
      </w:pPr>
      <w:r w:rsidRPr="005F138D">
        <w:rPr>
          <w:rFonts w:eastAsia="Times New Roman" w:cstheme="minorHAnsi"/>
          <w:sz w:val="20"/>
          <w:szCs w:val="20"/>
        </w:rPr>
        <w:instrText>This activity contributes to the CME component of the American Board of Anesthesiology's redesigned Maintenance of Certification in Anesthesiology™ (MOCA®) program, known as MOCA 2.0</w:instrText>
      </w:r>
      <w:r w:rsidRPr="005F138D">
        <w:rPr>
          <w:rFonts w:eastAsia="Times New Roman" w:cstheme="minorHAnsi"/>
          <w:sz w:val="20"/>
          <w:szCs w:val="20"/>
          <w:vertAlign w:val="superscript"/>
        </w:rPr>
        <w:instrText>©</w:instrText>
      </w:r>
      <w:r w:rsidRPr="005F138D">
        <w:rPr>
          <w:rFonts w:eastAsia="Times New Roman" w:cstheme="minorHAnsi"/>
          <w:sz w:val="20"/>
          <w:szCs w:val="20"/>
        </w:rPr>
        <w:instrText xml:space="preserve">. Please consult the ABA website, </w:instrText>
      </w:r>
      <w:r>
        <w:fldChar w:fldCharType="begin"/>
      </w:r>
      <w:r>
        <w:instrText xml:space="preserve"> HYPERLINK "https://www.theaba.org/" </w:instrText>
      </w:r>
      <w:r>
        <w:fldChar w:fldCharType="separate"/>
      </w:r>
      <w:r w:rsidRPr="005F138D">
        <w:rPr>
          <w:rFonts w:eastAsia="Times New Roman" w:cstheme="minorHAnsi"/>
          <w:color w:val="0000FF"/>
          <w:sz w:val="20"/>
          <w:szCs w:val="20"/>
          <w:u w:val="single"/>
        </w:rPr>
        <w:instrText>www.theABA.org</w:instrText>
      </w:r>
      <w:r>
        <w:fldChar w:fldCharType="end"/>
      </w:r>
      <w:r w:rsidRPr="005F138D">
        <w:rPr>
          <w:rFonts w:eastAsia="Times New Roman" w:cstheme="minorHAnsi"/>
          <w:sz w:val="20"/>
          <w:szCs w:val="20"/>
        </w:rPr>
        <w:instrText xml:space="preserve">, for a list of all MOCA 2.0 requirements. </w:instrText>
      </w:r>
      <w:r w:rsidRPr="005F138D">
        <w:rPr>
          <w:rFonts w:eastAsia="Times New Roman" w:cstheme="minorHAnsi"/>
          <w:sz w:val="20"/>
          <w:szCs w:val="20"/>
        </w:rPr>
        <w:instrText xml:space="preserve"> points"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Anesthesiology MOCA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inline distT="0" distB="0" distL="0" distR="0">
            <wp:extent cx="2377440" cy="292243"/>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Id8"/>
                    <a:stretch>
                      <a:fillRect/>
                    </a:stretch>
                  </pic:blipFill>
                  <pic:spPr>
                    <a:xfrm>
                      <a:off x="0" y="0"/>
                      <a:ext cx="2377440" cy="292243"/>
                    </a:xfrm>
                    <a:prstGeom prst="rect">
                      <a:avLst/>
                    </a:prstGeom>
                  </pic:spPr>
                </pic:pic>
              </a:graphicData>
            </a:graphic>
          </wp:inline>
        </w:drawing>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This activity offers up to </w:instrText>
      </w:r>
      <w:r w:rsidRPr="005F138D">
        <w:rPr>
          <w:rFonts w:eastAsia="Times New Roman" w:cstheme="minorHAnsi"/>
          <w:bCs/>
          <w:iCs/>
          <w:color w:val="000000"/>
          <w:sz w:val="20"/>
          <w:szCs w:val="20"/>
        </w:rPr>
        <w:instrText xml:space="preserve"> credits, which contributes to the pateint safety CME component of the American Board of Anesthesiology's redesigned Maintenance of Certification for Anesthesiology™ (MOCA®) program, known as MOCA 2.0®. Please consult the ABA website, www.theABA.org, for a list of all MOCA 2.0 requirements."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914400" cy="311899"/>
            <wp:effectExtent l="0" t="0" r="0" b="0"/>
            <wp:wrapSquare wrapText="bothSides"/>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5408" behindDoc="0" locked="0" layoutInCell="1" allowOverlap="1">
            <wp:simplePos x="0" y="0"/>
            <wp:positionH relativeFrom="margin">
              <wp:align>left</wp:align>
            </wp:positionH>
            <wp:positionV relativeFrom="paragraph">
              <wp:posOffset>7620</wp:posOffset>
            </wp:positionV>
            <wp:extent cx="914400" cy="311899"/>
            <wp:effectExtent l="0" t="0" r="0" b="0"/>
            <wp:wrapSquare wrapText="bothSides"/>
            <wp:docPr id="8" name="Picture 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899"/>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Internal Medicine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14300" distR="114300" simplePos="0" relativeHeight="251666432" behindDoc="0" locked="0" layoutInCell="1" allowOverlap="1">
            <wp:simplePos x="0" y="0"/>
            <wp:positionH relativeFrom="margin">
              <wp:align>left</wp:align>
            </wp:positionH>
            <wp:positionV relativeFrom="paragraph">
              <wp:posOffset>7620</wp:posOffset>
            </wp:positionV>
            <wp:extent cx="914400" cy="311575"/>
            <wp:effectExtent l="0" t="0" r="0" b="0"/>
            <wp:wrapSquare wrapText="bothSides"/>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914400" cy="311575"/>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Lifelong Learning requirement for the American Board of Ophthalmology's Continuing Certification program. It is the CME activity provider's </w:instrText>
      </w:r>
      <w:r w:rsidRPr="005F138D">
        <w:rPr>
          <w:rFonts w:eastAsia="Times New Roman" w:cstheme="minorHAnsi"/>
          <w:bCs/>
          <w:iCs/>
          <w:color w:val="000000"/>
          <w:sz w:val="20"/>
          <w:szCs w:val="20"/>
        </w:rPr>
        <w:instrText>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ABOMOCP4HoursMax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Improvement in Medical Practice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Ophthalmology MOC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Patient Safety requirement for the American Board of Ophthalmology's Continuing Certification program. It is the CME activity provider's responsibility to submit participant completion information to ACCME for the purpose of granting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Ophthalmology MOC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earns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MERFIELD ABOMOCP4HoursMax \# 0.00# </w:instrText>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ABOMOCP2HoursMax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hours toward the Self-Assessment requirement for the American Board of Ophthalmology's Continuing Certification program. It is the CME activity provider's responsibility to submit participant completion information to ACCME for the purpose of granting credit."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the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instrText xml:space="preserve"> credits"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improvement in medical practice requirement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Cs/>
          <w:iCs/>
          <w:color w:val="000000"/>
          <w:sz w:val="20"/>
          <w:szCs w:val="20"/>
        </w:rPr>
      </w:pPr>
      <w:r w:rsidRPr="005F138D">
        <w:rPr>
          <w:rFonts w:eastAsia="Times New Roman" w:cstheme="minorHAnsi"/>
          <w:b/>
          <w:iCs/>
          <w:color w:val="000000"/>
          <w:sz w:val="20"/>
          <w:szCs w:val="20"/>
        </w:rPr>
        <w:instrText>American Board of Otolaryngology – Head and Neck Surgery Continuing Certification Patient Safety</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ABOHNSMOCPSHoursMax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ABOHNSMOCP4Hours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patient safety requirement in the American Board of Otolaryngology – Head and Neck Surgery’s Continuing Certification program (formerly known as MOC). It is the CME activity provider’s responsibility to submit participant completion information to ACCME for the purpose of recognizing participation." ""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Pediatrics MOC Part 2</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up to </w:instrText>
      </w:r>
      <w:r w:rsidRPr="005F138D">
        <w:rPr>
          <w:rFonts w:eastAsia="Times New Roman" w:cstheme="minorHAnsi"/>
          <w:bCs/>
          <w:iCs/>
          <w:color w:val="000000"/>
          <w:sz w:val="20"/>
          <w:szCs w:val="20"/>
        </w:rPr>
        <w:instrText xml:space="preserve"> MOC points in the American Board of Pediatrics’ (ABP) Maintenance of Certification (MOC) program. It is the CME activity provider’s responsibility to submit participant completion information to ACCME for the purpose of granting ABP MOC credit.</w:instrText>
      </w:r>
      <w:r w:rsidRPr="005F138D">
        <w:rPr>
          <w:rFonts w:eastAsia="Times New Roman" w:cstheme="minorHAnsi"/>
          <w:noProof/>
          <w:sz w:val="24"/>
          <w:szCs w:val="24"/>
        </w:rPr>
        <w:drawing>
          <wp:anchor distT="0" distB="0" distL="182880" distR="114300" simplePos="0" relativeHeight="251667456" behindDoc="0" locked="0" layoutInCell="1" allowOverlap="1">
            <wp:simplePos x="0" y="0"/>
            <wp:positionH relativeFrom="margin">
              <wp:align>left</wp:align>
            </wp:positionH>
            <wp:positionV relativeFrom="paragraph">
              <wp:posOffset>6985</wp:posOffset>
            </wp:positionV>
            <wp:extent cx="457200" cy="457200"/>
            <wp:effectExtent l="0" t="0" r="0" b="0"/>
            <wp:wrapSquare wrapText="bothSides"/>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a:blip xmlns:r="http://schemas.openxmlformats.org/officeDocument/2006/relationships" r:embed="rId10"/>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II</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Lifelong Learning component in the American Board of Pathology’s (ABPath) Continuing Certification program. It is the CME activity provider’s responsibility to submit participant completion information to ACCME for the purpose of granting ABPath MOC credit.</w:instrText>
      </w:r>
      <w:r w:rsidRPr="005F138D">
        <w:rPr>
          <w:rFonts w:eastAsia="Times New Roman" w:cstheme="minorHAnsi"/>
          <w:noProof/>
          <w:sz w:val="24"/>
          <w:szCs w:val="24"/>
        </w:rPr>
        <w:drawing>
          <wp:anchor distT="0" distB="0" distL="182880" distR="114300" simplePos="0" relativeHeight="251668480" behindDoc="0" locked="0" layoutInCell="1" allowOverlap="1">
            <wp:simplePos x="0" y="0"/>
            <wp:positionH relativeFrom="margin">
              <wp:align>left</wp:align>
            </wp:positionH>
            <wp:positionV relativeFrom="paragraph">
              <wp:posOffset>7620</wp:posOffset>
            </wp:positionV>
            <wp:extent cx="731520" cy="499000"/>
            <wp:effectExtent l="0" t="0" r="0" b="0"/>
            <wp:wrapSquare wrapText="bothSides"/>
            <wp:docPr id="14" name="Picture 1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9000"/>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Pathology Continuing Certification Part IV</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69504" behindDoc="0" locked="0" layoutInCell="1" allowOverlap="1">
            <wp:simplePos x="0" y="0"/>
            <wp:positionH relativeFrom="margin">
              <wp:posOffset>17145</wp:posOffset>
            </wp:positionH>
            <wp:positionV relativeFrom="paragraph">
              <wp:posOffset>24130</wp:posOffset>
            </wp:positionV>
            <wp:extent cx="731520" cy="498475"/>
            <wp:effectExtent l="0" t="0" r="0" b="0"/>
            <wp:wrapSquare wrapText="bothSides"/>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company name&#10;&#10;Description automatically generated"/>
                    <pic:cNvPicPr/>
                  </pic:nvPicPr>
                  <pic:blipFill rotWithShape="1">
                    <a:blip xmlns:r="http://schemas.openxmlformats.org/officeDocument/2006/relationships" r:embed="rId11"/>
                    <a:srcRect r="8514" b="29283"/>
                    <a:stretch/>
                  </pic:blipFill>
                  <pic:spPr bwMode="auto">
                    <a:xfrm>
                      <a:off x="0" y="0"/>
                      <a:ext cx="731520" cy="498475"/>
                    </a:xfrm>
                    <a:prstGeom prst="rect">
                      <a:avLst/>
                    </a:prstGeom>
                    <a:ln>
                      <a:noFill/>
                    </a:ln>
                    <a:extLst>
                      <a:ext uri="{53640926-AAD7-44D8-BBD7-CCE9431645EC}">
                        <a14:shadowObscured xmlns:a14="http://schemas.microsoft.com/office/drawing/2010/main"/>
                      </a:ext>
                    </a:extLst>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participant to earn up to </w:instrText>
      </w:r>
      <w:r w:rsidRPr="005F138D">
        <w:rPr>
          <w:rFonts w:eastAsia="Times New Roman" w:cstheme="minorHAnsi"/>
          <w:bCs/>
          <w:iCs/>
          <w:color w:val="000000"/>
          <w:sz w:val="20"/>
          <w:szCs w:val="20"/>
        </w:rPr>
        <w:instrText xml:space="preserve"> MOC points towards the Improvement in Medical Practice component in the American Board of Pathology’s (ABPath) Continuing Certification program. It is the CME activity provider’s responsibility to submit participant completion information to ACCME for the purpose of granting ABPath MOC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0528" behindDoc="0" locked="0" layoutInCell="1" allowOverlap="1">
            <wp:simplePos x="0" y="0"/>
            <wp:positionH relativeFrom="margin">
              <wp:posOffset>0</wp:posOffset>
            </wp:positionH>
            <wp:positionV relativeFrom="paragraph">
              <wp:posOffset>32014</wp:posOffset>
            </wp:positionV>
            <wp:extent cx="457200" cy="457200"/>
            <wp:effectExtent l="0" t="0" r="0" b="0"/>
            <wp:wrapSquare wrapText="bothSides"/>
            <wp:docPr id="17" name="Picture 1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CME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IF </w:instrText>
      </w:r>
      <w:r w:rsidRPr="005F138D">
        <w:rPr>
          <w:rFonts w:eastAsia="Times New Roman" w:cstheme="minorHAnsi"/>
          <w:bCs/>
          <w:iCs/>
          <w:color w:val="000000"/>
          <w:sz w:val="20"/>
          <w:szCs w:val="20"/>
        </w:rPr>
        <w:instrText>0.00</w:instrText>
      </w:r>
      <w:r w:rsidRPr="005F138D">
        <w:rPr>
          <w:rFonts w:eastAsia="Times New Roman" w:cstheme="minorHAnsi"/>
          <w:bCs/>
          <w:iCs/>
          <w:color w:val="000000"/>
          <w:sz w:val="20"/>
          <w:szCs w:val="20"/>
        </w:rPr>
        <w:instrText xml:space="preserve"> &gt; 0 "</w:instrText>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instrText>American Board of Surgery Continuing Certification SAM</w:instrTex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noProof/>
          <w:sz w:val="24"/>
          <w:szCs w:val="24"/>
        </w:rPr>
        <w:drawing>
          <wp:anchor distT="0" distB="0" distL="182880" distR="114300" simplePos="0" relativeHeight="251671552" behindDoc="0" locked="0" layoutInCell="1" allowOverlap="1">
            <wp:simplePos x="0" y="0"/>
            <wp:positionH relativeFrom="margin">
              <wp:posOffset>0</wp:posOffset>
            </wp:positionH>
            <wp:positionV relativeFrom="paragraph">
              <wp:posOffset>24501</wp:posOffset>
            </wp:positionV>
            <wp:extent cx="457200" cy="457200"/>
            <wp:effectExtent l="0" t="0" r="0" b="0"/>
            <wp:wrapSquare wrapText="bothSides"/>
            <wp:docPr id="18" name="Picture 1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black, darkness&#10;&#10;Description automatically generated"/>
                    <pic:cNvPicPr/>
                  </pic:nvPicPr>
                  <pic:blipFill>
                    <a:blip xmlns:r="http://schemas.openxmlformats.org/officeDocument/2006/relationships" r:embed="rId12"/>
                    <a:stretch>
                      <a:fillRect/>
                    </a:stretch>
                  </pic:blipFill>
                  <pic:spPr>
                    <a:xfrm>
                      <a:off x="0" y="0"/>
                      <a:ext cx="457200" cy="457200"/>
                    </a:xfrm>
                    <a:prstGeom prst="rect">
                      <a:avLst/>
                    </a:prstGeom>
                  </pic:spPr>
                </pic:pic>
              </a:graphicData>
            </a:graphic>
          </wp:anchor>
        </w:drawing>
      </w:r>
      <w:r w:rsidRPr="005F138D">
        <w:rPr>
          <w:rFonts w:eastAsia="Times New Roman" w:cstheme="minorHAnsi"/>
          <w:bCs/>
          <w:iCs/>
          <w:color w:val="000000"/>
          <w:sz w:val="20"/>
          <w:szCs w:val="20"/>
        </w:rPr>
        <w:instrText xml:space="preserve">Successful completion of this CME activity, which includes participation in the evaluation component, enables the learner to earn </w:instrText>
      </w:r>
      <w:r w:rsidRPr="005F138D">
        <w:rPr>
          <w:rFonts w:eastAsia="Times New Roman" w:cstheme="minorHAnsi"/>
          <w:bCs/>
          <w:iCs/>
          <w:color w:val="000000"/>
          <w:sz w:val="20"/>
          <w:szCs w:val="20"/>
        </w:rPr>
        <w:fldChar w:fldCharType="begin"/>
      </w:r>
      <w:r w:rsidRPr="005F138D">
        <w:rPr>
          <w:rFonts w:eastAsia="Times New Roman" w:cstheme="minorHAnsi"/>
          <w:bCs/>
          <w:iCs/>
          <w:color w:val="000000"/>
          <w:sz w:val="20"/>
          <w:szCs w:val="20"/>
        </w:rPr>
        <w:instrText xml:space="preserve"> MERGEFIELD ABSCCSAMHoursMax \# 0.00#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r w:rsidRPr="005F138D">
        <w:rPr>
          <w:rFonts w:eastAsia="Times New Roman" w:cstheme="minorHAnsi"/>
          <w:bCs/>
          <w:iCs/>
          <w:color w:val="000000"/>
          <w:sz w:val="20"/>
          <w:szCs w:val="20"/>
        </w:rPr>
        <w:instrText xml:space="preserve"> credit towards the Self-Assessment requirement of the American Board of Surgery’s Continuous Certification program. It is the CME activity provider’s responsibility to submit learner completion information to ACCME for the purpose of granting ABS credit." ""</w:instrText>
      </w:r>
      <w:r w:rsidRPr="005F138D">
        <w:rPr>
          <w:rFonts w:eastAsia="Times New Roman" w:cstheme="minorHAnsi"/>
          <w:bCs/>
          <w:iCs/>
          <w:color w:val="000000"/>
          <w:sz w:val="20"/>
          <w:szCs w:val="20"/>
        </w:rPr>
        <w:fldChar w:fldCharType="separate"/>
      </w:r>
      <w:r w:rsidRPr="005F138D">
        <w:rPr>
          <w:rFonts w:eastAsia="Times New Roman" w:cstheme="minorHAnsi"/>
          <w:bCs/>
          <w:iCs/>
          <w:color w:val="000000"/>
          <w:sz w:val="20"/>
          <w:szCs w:val="20"/>
        </w:rPr>
        <w:fldChar w:fldCharType="end"/>
      </w:r>
    </w:p>
    <w:p w:rsidR="00373A01" w:rsidRPr="005F138D" w:rsidP="00373A01">
      <w:pPr>
        <w:spacing w:before="240" w:after="120" w:line="240" w:lineRule="auto"/>
        <w:rPr>
          <w:rFonts w:eastAsia="Times New Roman" w:cstheme="minorHAnsi"/>
          <w:b/>
          <w:iCs/>
          <w:color w:val="000000"/>
          <w:sz w:val="20"/>
          <w:szCs w:val="20"/>
        </w:rPr>
      </w:pPr>
      <w:r w:rsidRPr="005F138D">
        <w:rPr>
          <w:rFonts w:eastAsia="Times New Roman" w:cstheme="minorHAnsi"/>
          <w:b/>
          <w:iCs/>
          <w:color w:val="000000"/>
          <w:sz w:val="20"/>
          <w:szCs w:val="20"/>
        </w:rPr>
        <w:t>Other Healthcare Professionals</w:t>
      </w:r>
    </w:p>
    <w:p w:rsidR="00373A01" w:rsidRPr="005F138D" w:rsidP="00373A01">
      <w:pPr>
        <w:spacing w:after="120" w:line="240" w:lineRule="auto"/>
        <w:rPr>
          <w:rFonts w:eastAsia="Times New Roman" w:cstheme="minorHAnsi"/>
          <w:bCs/>
          <w:iCs/>
          <w:color w:val="000000"/>
          <w:sz w:val="20"/>
          <w:szCs w:val="20"/>
        </w:rPr>
      </w:pPr>
      <w:r w:rsidRPr="005F138D">
        <w:rPr>
          <w:rFonts w:eastAsia="Times New Roman" w:cstheme="minorHAnsi"/>
          <w:bCs/>
          <w:iCs/>
          <w:color w:val="000000"/>
          <w:sz w:val="20"/>
          <w:szCs w:val="20"/>
        </w:rPr>
        <w:t>Other healthcare professionals who participate in this activity may submit their statement of participation to their appropriate accrediting organizations or state boards for consideration of credit. Participants are responsible for determining whether this activity meets the requirements for acceptable continuing education.</w:t>
      </w:r>
    </w:p>
    <w:p w:rsidR="00373A01" w:rsidRPr="005F138D" w:rsidP="00373A01">
      <w:pPr>
        <w:spacing w:before="240" w:after="120" w:line="240" w:lineRule="auto"/>
        <w:rPr>
          <w:rFonts w:eastAsia="Times New Roman" w:cstheme="minorHAnsi"/>
          <w:b/>
          <w:iCs/>
          <w:color w:val="0073AE"/>
        </w:rPr>
      </w:pPr>
      <w:r w:rsidRPr="005F138D">
        <w:rPr>
          <w:rFonts w:eastAsia="Times New Roman" w:cstheme="minorHAnsi"/>
          <w:b/>
          <w:iCs/>
          <w:color w:val="0073AE"/>
        </w:rPr>
        <w:t>Disclosures:</w:t>
      </w:r>
    </w:p>
    <w:p w:rsidR="00373A01" w:rsidRPr="005F138D" w:rsidP="00373A01">
      <w:pPr>
        <w:spacing w:after="0" w:line="240" w:lineRule="auto"/>
        <w:rPr>
          <w:rFonts w:eastAsia="Times New Roman" w:cstheme="minorHAnsi"/>
          <w:sz w:val="20"/>
          <w:szCs w:val="20"/>
        </w:rPr>
      </w:pPr>
      <w:r w:rsidRPr="005F138D">
        <w:rPr>
          <w:rFonts w:eastAsia="Times New Roman" w:cstheme="minorHAnsi"/>
          <w:sz w:val="20"/>
          <w:szCs w:val="20"/>
        </w:rPr>
        <w:t>AdventHealth Orlando CME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373A01" w:rsidRPr="005F138D" w:rsidP="00373A01">
      <w:pPr>
        <w:spacing w:after="0" w:line="240" w:lineRule="auto"/>
        <w:rPr>
          <w:rFonts w:eastAsia="Times New Roman" w:cstheme="minorHAnsi"/>
          <w:iCs/>
          <w:sz w:val="20"/>
          <w:szCs w:val="20"/>
        </w:rPr>
      </w:pPr>
    </w:p>
    <w:p w:rsidR="00373A01" w:rsidRPr="005F138D" w:rsidP="00373A01">
      <w:pPr>
        <w:spacing w:after="120" w:line="240" w:lineRule="auto"/>
        <w:rPr>
          <w:rFonts w:eastAsia="Times New Roman" w:cstheme="minorHAnsi"/>
          <w:iCs/>
          <w:sz w:val="20"/>
          <w:szCs w:val="20"/>
        </w:rPr>
      </w:pPr>
      <w:r w:rsidRPr="005F138D">
        <w:rPr>
          <w:rFonts w:eastAsia="Times New Roman" w:cstheme="minorHAnsi"/>
          <w:iCs/>
          <w:sz w:val="20"/>
          <w:szCs w:val="20"/>
        </w:rPr>
        <w:t>The planners and faculty of this series have disclosed the following financial relationship(s) with ineligible companies/commercial interests:</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Mildred Abodakpi,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Arti Bhavsar, Unknown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Lisa E. Campbell, MHA,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Jason Cirolia, PT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Allan Frankel,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Makeba Garrison, DMin, MDiv, MEd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A. George, BSN, RN, CCRN-K</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Ashleigh A. Gonzalez, MSN, RN, RNC, CPPS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Mike A. Irwin, BSIE</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- 11/13/2025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Erica K. Jacques,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Jaclyn Jeffries, PharmD, CPh, CPPS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etc.-Baxter International, Inc. (Relationship has ended)|Paid consultant-ICU Medical - 11/06/2025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Kimberly Jentsch,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Jeffrey C. Kuhlman, MD, MPH, CPPS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Rachel Lassel,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Charlene A. LePane,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Bryan M. Lin,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Omayra L. Mansfield, MD, MHA, FACEP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 Mike Nunn,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Stacy W. Prince, JD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Reichard, LPN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Camille Rey, MSN, BSN,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Roncska, DBA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William R. Scharf,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Non-Clinical Exception</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Korey M. Settle, MSN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Summers,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Mary Jo Thompson, MBA, RN, CPHRM, CPPS, FASHRM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Teresa M. Tomlinson, MSN,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Dunia Villaverde, Unknown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Non-Clinical Exception</w:t>
            </w:r>
          </w:p>
        </w:tc>
      </w:tr>
    </w:tbl>
    <w:p w:rsidR="00373A01" w:rsidRPr="005F138D">
      <w:pPr>
        <w:bidi w:val="0"/>
        <w:spacing w:after="280" w:afterAutospacing="1"/>
        <w:rPr>
          <w:rFonts w:eastAsia="Times New Roman" w:cstheme="minorHAnsi"/>
          <w:iCs/>
          <w:sz w:val="20"/>
          <w:szCs w:val="20"/>
        </w:rPr>
      </w:pPr>
    </w:p>
    <w:p w:rsidR="00F54A16" w:rsidRPr="005F138D">
      <w:pPr>
        <w:rPr>
          <w:rFonts w:cstheme="minorHAnsi"/>
        </w:rPr>
      </w:pPr>
    </w:p>
    <w:sectPr w:rsidSect="0064282E">
      <w:headerReference w:type="default" r:id="rId13"/>
      <w:footerReference w:type="default" r:id="rId14"/>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RPr="00D42503" w:rsidP="00D42503">
    <w:pPr>
      <w:rPr>
        <w:rFonts w:ascii="Calibri" w:hAnsi="Calibri" w:cs="Calibri"/>
        <w:color w:val="000000"/>
        <w:sz w:val="12"/>
      </w:rPr>
    </w:pPr>
    <w:r>
      <w:rPr>
        <w:rFonts w:ascii="Calibri" w:hAnsi="Calibri" w:cs="Calibri"/>
        <w:color w:val="000000"/>
        <w:sz w:val="12"/>
      </w:rPr>
      <w:t>AdventHealth Orlando</w:t>
    </w:r>
    <w:r w:rsidRPr="00A31FB2">
      <w:rPr>
        <w:rFonts w:ascii="Calibri" w:hAnsi="Calibri" w:cs="Calibri"/>
        <w:color w:val="000000"/>
        <w:sz w:val="12"/>
      </w:rPr>
      <w:t>. 202</w:t>
    </w:r>
    <w:r>
      <w:rPr>
        <w:rFonts w:ascii="Calibri" w:hAnsi="Calibri" w:cs="Calibri"/>
        <w:color w:val="000000"/>
        <w:sz w:val="12"/>
      </w:rPr>
      <w:t>3</w:t>
    </w:r>
    <w:r w:rsidRPr="00A31FB2">
      <w:rPr>
        <w:rFonts w:ascii="Calibri" w:hAnsi="Calibri" w:cs="Calibri"/>
        <w:color w:val="000000"/>
        <w:sz w:val="12"/>
      </w:rPr>
      <w:t xml:space="preserve">. All rights reserved. </w:t>
    </w:r>
    <w:r>
      <w:rPr>
        <w:rFonts w:ascii="Calibri" w:hAnsi="Calibri" w:cs="Calibri"/>
        <w:color w:val="000000"/>
        <w:sz w:val="12"/>
      </w:rPr>
      <w:t>06/272023</w:t>
    </w:r>
    <w:r w:rsidR="00373A01">
      <w:rPr>
        <w:noProof/>
      </w:rPr>
      <w:drawing>
        <wp:anchor distT="0" distB="0" distL="114300" distR="114300" simplePos="0" relativeHeight="251658240" behindDoc="0" locked="0" layoutInCell="1" allowOverlap="1">
          <wp:simplePos x="0" y="0"/>
          <wp:positionH relativeFrom="column">
            <wp:posOffset>5331853</wp:posOffset>
          </wp:positionH>
          <wp:positionV relativeFrom="line">
            <wp:align>center</wp:align>
          </wp:positionV>
          <wp:extent cx="1069848" cy="411480"/>
          <wp:effectExtent l="0" t="0" r="0" b="7620"/>
          <wp:wrapThrough wrapText="bothSides">
            <wp:wrapPolygon>
              <wp:start x="0" y="0"/>
              <wp:lineTo x="0" y="21000"/>
              <wp:lineTo x="21164" y="21000"/>
              <wp:lineTo x="21164" y="0"/>
              <wp:lineTo x="0" y="0"/>
            </wp:wrapPolygon>
          </wp:wrapThrough>
          <wp:docPr id="28" name="Picture 28"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font, logo, graphics&#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069848" cy="41148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188" w:rsidP="00612DD0">
    <w:pPr>
      <w:pStyle w:val="Head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-1295400</wp:posOffset>
              </wp:positionH>
              <wp:positionV relativeFrom="paragraph">
                <wp:posOffset>-447675</wp:posOffset>
              </wp:positionV>
              <wp:extent cx="4610100" cy="933450"/>
              <wp:effectExtent l="0" t="0" r="57150" b="38100"/>
              <wp:wrapNone/>
              <wp:docPr id="19" name="Right Triangle 10"/>
              <wp:cNvGraphicFramePr/>
              <a:graphic xmlns:a="http://schemas.openxmlformats.org/drawingml/2006/main">
                <a:graphicData uri="http://schemas.microsoft.com/office/word/2010/wordprocessingShape">
                  <wps:wsp xmlns:wps="http://schemas.microsoft.com/office/word/2010/wordprocessingShape">
                    <wps:cNvSpPr/>
                    <wps:spPr>
                      <a:xfrm flipV="1">
                        <a:off x="0" y="0"/>
                        <a:ext cx="4610100" cy="933450"/>
                      </a:xfrm>
                      <a:prstGeom prst="rtTriangle">
                        <a:avLst/>
                      </a:prstGeom>
                      <a:solidFill>
                        <a:srgbClr val="81C342"/>
                      </a:solidFill>
                      <a:ln>
                        <a:solidFill>
                          <a:srgbClr val="81C34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10" o:spid="_x0000_s2049" type="#_x0000_t6" style="flip:y;height:73.5pt;margin-left:-102pt;margin-top:-35.25pt;mso-wrap-distance-bottom:0;mso-wrap-distance-left:9pt;mso-wrap-distance-right:9pt;mso-wrap-distance-top:0;mso-wrap-style:square;position:absolute;v-text-anchor:middle;visibility:visible;width:363pt;z-index:251660288" fillcolor="#81c342" strokecolor="#81c342" strokeweight="1p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-1114425</wp:posOffset>
              </wp:positionH>
              <wp:positionV relativeFrom="paragraph">
                <wp:posOffset>-447675</wp:posOffset>
              </wp:positionV>
              <wp:extent cx="7953375" cy="933450"/>
              <wp:effectExtent l="38100" t="0" r="28575" b="38100"/>
              <wp:wrapNone/>
              <wp:docPr id="20" name="Right Triangle 11"/>
              <wp:cNvGraphicFramePr/>
              <a:graphic xmlns:a="http://schemas.openxmlformats.org/drawingml/2006/main">
                <a:graphicData uri="http://schemas.microsoft.com/office/word/2010/wordprocessingShape">
                  <wps:wsp xmlns:wps="http://schemas.microsoft.com/office/word/2010/wordprocessingShape">
                    <wps:cNvSpPr/>
                    <wps:spPr>
                      <a:xfrm flipH="1" flipV="1">
                        <a:off x="0" y="0"/>
                        <a:ext cx="7953375" cy="933450"/>
                      </a:xfrm>
                      <a:prstGeom prst="rtTriangle">
                        <a:avLst/>
                      </a:prstGeom>
                      <a:solidFill>
                        <a:srgbClr val="006298"/>
                      </a:solidFill>
                      <a:ln>
                        <a:solidFill>
                          <a:srgbClr val="00629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Triangle 11" o:spid="_x0000_s2050" type="#_x0000_t6" style="flip:x y;height:73.5pt;margin-left:-87.75pt;margin-top:-35.25pt;mso-wrap-distance-bottom:0;mso-wrap-distance-left:9pt;mso-wrap-distance-right:9pt;mso-wrap-distance-top:0;mso-wrap-style:square;position:absolute;v-text-anchor:middle;visibility:visible;width:626.25pt;z-index:251662336" fillcolor="#006298" strokecolor="#006298" strokeweight="1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82109C0"/>
    <w:multiLevelType w:val="hybridMultilevel"/>
    <w:tmpl w:val="76B0E1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3"/>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73A01"/>
    <w:rPr>
      <w:rFonts w:ascii="Times New Roman" w:eastAsia="Times New Roman" w:hAnsi="Times New Roman" w:cs="Times New Roman"/>
      <w:sz w:val="24"/>
      <w:szCs w:val="24"/>
    </w:rPr>
  </w:style>
  <w:style w:type="paragraph" w:styleId="Footer">
    <w:name w:val="footer"/>
    <w:basedOn w:val="Normal"/>
    <w:link w:val="FooterChar"/>
    <w:rsid w:val="00373A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373A01"/>
    <w:rPr>
      <w:rFonts w:ascii="Times New Roman" w:eastAsia="Times New Roman" w:hAnsi="Times New Roman" w:cs="Times New Roman"/>
      <w:sz w:val="24"/>
      <w:szCs w:val="24"/>
    </w:rPr>
  </w:style>
  <w:style w:type="table" w:styleId="TableGrid">
    <w:name w:val="Table Grid"/>
    <w:basedOn w:val="TableNormal"/>
    <w:rsid w:val="00C23C77"/>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png" /><Relationship Id="rId13" Type="http://schemas.openxmlformats.org/officeDocument/2006/relationships/header" Target="header1.xml" /><Relationship Id="rId14" Type="http://schemas.openxmlformats.org/officeDocument/2006/relationships/footer" Target="foot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footer1.xml.rels>&#65279;<?xml version="1.0" encoding="utf-8" standalone="yes"?><Relationships xmlns="http://schemas.openxmlformats.org/package/2006/relationships"><Relationship Id="rId1" Type="http://schemas.openxmlformats.org/officeDocument/2006/relationships/image" Target="media/image9.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7E13F-EA20-6A45-9AE2-BE7388636D61}">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2437</Words>
  <Characters>15770</Characters>
  <Application>Microsoft Office Word</Application>
  <DocSecurity>0</DocSecurity>
  <Lines>426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Provenza, Virginia</dc:creator>
  <cp:lastModifiedBy>Millard, Beverly</cp:lastModifiedBy>
  <cp:revision>4</cp:revision>
  <dcterms:created xsi:type="dcterms:W3CDTF">2026-08-04T19:47:00Z</dcterms:created>
  <dcterms:modified xsi:type="dcterms:W3CDTF">2026-08-05T13:00:00Z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a9d3d8475ee131c641ef2594e5863ee0097e24b5508558100750eba4f7d2c98b</vt:lpwstr>
  </property>
</Properties>
</file>