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Grand Rounds: Neurology (CFD)</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1/9/2026 12:00:00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22475</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Discover the future of neurology at the 2026 Neurology Grand Rounds designed for the entire neurology community. This series brings together experts and innovators to foster collaboration of neurological disorders and treatments. Experience the most comprehensive program yet, featuring diverse presentations and interactive sessions that tackle today’s biggest challenges and highlight emerging trends. Don’t miss your chance to connect, learn, and shape the future of neurological care!</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Integration with Clinical Practice: Enhance practical application of theoretical knowledge through case studies, practical demonstrations, and collaborative projects.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Ongoing Education: Ensure healthcare professionals are updated on the latest advancements in disease pathology, diagnosis, and management, incorporating emerging research, innovative diagnostic tools, and evidence-based treatment protocols.</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3 Case-Based Learning: Improve competency and treatment of complex diseases through detailed analysis of real-life scenarios, encouraging critical thinking, problem-solving, peer discussion, and mentorship.</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4 Curriculum Customization: Address specific educational needs through a thorough root cause analysis, ensuring the learning experience is highly relevant and targeted for long-term improvements in clinical practice and patient outcomes.</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Integration with Clinical Practice: Enhance practical application of theoretical knowledge through case studies, practical demonstrations, and collaborative projects.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Ongoing Education: Ensure healthcare professionals are updated on the latest advancements in disease pathology, diagnosis, and management, incorporating emerging research, innovative diagnostic tools, and evidence-based treatment protocols.</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3 Case-Based Learning: Improve competency and treatment of complex diseases through detailed analysis of real-life scenarios, encouraging critical thinking, problem-solving, peer discussion, and mentorship.</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4 Curriculum Customization: Address specific educational needs through a thorough root cause analysis, ensuring the learning experience is highly relevant and targeted for long-term improvements in clinical practice and patient outcomes.</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Anwar Ahmed,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- 01/25/2025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Gayle A. Shepherd,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- 12/02/2025</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