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AHCI: Contemporary Lung Cancer Treatment (EFD)</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8/5/2026 5:30:00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22390</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Oceanside Country Club</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Join us for engaging discussions that dive into the rapidly evolving landscape of lung cancer therapeutics. Gain invaluable insights into current best practices and future directions, including biomarker testing, immunotherapy, targeted therapy, and both surgical and non-surgical options. Expert-led discussions will explore the latest advancements and practical strategies to optimize patient outcomes. Don’t miss this opportunity to stay ahead in lung cancer care and bring cutting-edge knowledge back to your practice!</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Analyze emerging scientific and clinical data to inform evidence-based management strategies in lung cancer care.</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Evaluate evidence-based guidelines and clinical research to support appropriate clinical decision-making.</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3 Apply multidisciplinary approaches to develop individualized treatment plans that improve patient outcomes in lung cancer.</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Analyze emerging scientific and clinical data to inform evidence-based management strategies in lung cancer care.</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Evaluate evidence-based guidelines and clinical research to support appropriate clinical decision-making.</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3 Apply multidisciplinary approaches to develop individualized treatment plans that improve patient outcomes in lung cancer.</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2.00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2.00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2.00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Samuel H. Crayton,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Nicolette R. Huntley,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- 11/20/2025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Sandra D. Jennings, MSN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 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- 12/02/2025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Andrea Katz,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Patrick T. Mangonon,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- 05/09/2026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Alvaro Martin Menjivar,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Abby Richards, 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Administrator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- 10/28/2025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Kevin Chad Schaeffer, MS, RN, FACHE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- 12/02/2025</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