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 xml:space="preserve">Ethical Dilemmas in Neurocritical Care (CFD) </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10/15/2025 7:30:00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21462</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Topics may include the management of traumatic brain injury, stroke, intracranial hemorrhage, status epilepticus, and other critical neurological conditions. The session features expert speakers, case presentations, and interactive discussions to enhance clinical skills and improve patient outcomes.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Florida Board of Nursing</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The Florida Board of Nursing accepts a CE activity that has been approved by an agency that regulates a healthcare profession or discipline in Florida or another jurisdiction.</w: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Amay Parikh,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Okorie Okorie,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Cristy C. Castillo,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Bassel F. Raad,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- 09/29/2025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Sandra L. Muse,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- 03/19/2025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Murad M. Talahma,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- 12/31/2024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Flora Romain, MS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- 02/18/2025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Lexi Heller, 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- 12/30/2024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