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884D3A" w:rsidRPr="005F138D" w:rsidP="007C116A">
      <w:pPr>
        <w:spacing w:before="240" w:after="240" w:line="240" w:lineRule="auto"/>
        <w:jc w:val="center"/>
        <w:rPr>
          <w:rFonts w:eastAsia="Times New Roman" w:cstheme="minorHAnsi"/>
          <w:b/>
          <w:iCs/>
          <w:color w:val="0073AE"/>
          <w:sz w:val="32"/>
          <w:szCs w:val="32"/>
        </w:rPr>
      </w:pPr>
      <w:r w:rsidRPr="005F138D">
        <w:rPr>
          <w:rFonts w:eastAsia="Times New Roman" w:cstheme="minorHAnsi"/>
          <w:b/>
          <w:iCs/>
          <w:color w:val="0073AE"/>
          <w:sz w:val="32"/>
          <w:szCs w:val="32"/>
        </w:rPr>
        <w:t>Technology Enhanced Teaching</w:t>
      </w:r>
    </w:p>
    <w:tbl>
      <w:tblPr>
        <w:tblStyle w:val="TableGrid"/>
        <w:tblW w:w="0" w:type="auto"/>
        <w:tblBorders>
          <w:top w:val="nil"/>
          <w:left w:val="nil"/>
          <w:bottom w:val="nil"/>
          <w:right w:val="nil"/>
          <w:insideH w:val="nil"/>
          <w:insideV w:val="nil"/>
        </w:tblBorders>
        <w:tblLayout w:type="fixed"/>
        <w:tblLook w:val="04A0"/>
      </w:tblPr>
      <w:tblGrid>
        <w:gridCol w:w="1435"/>
        <w:gridCol w:w="4145"/>
        <w:gridCol w:w="1437"/>
        <w:gridCol w:w="2338"/>
      </w:tblGrid>
      <w:tr w:rsidTr="00B626F9">
        <w:tblPrEx>
          <w:tblW w:w="0" w:type="auto"/>
          <w:tblBorders>
            <w:top w:val="nil"/>
            <w:left w:val="nil"/>
            <w:bottom w:val="nil"/>
            <w:right w:val="nil"/>
            <w:insideH w:val="nil"/>
            <w:insideV w:val="nil"/>
          </w:tblBorders>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Date/Time:</w:t>
            </w:r>
          </w:p>
        </w:tc>
        <w:tc>
          <w:tcPr>
            <w:tcW w:w="4145" w:type="dxa"/>
          </w:tcPr>
          <w:p w:rsidR="00373A01" w:rsidRPr="005F138D" w:rsidP="00373A01">
            <w:pPr>
              <w:spacing w:before="60" w:after="60"/>
              <w:rPr>
                <w:rFonts w:cstheme="minorHAnsi"/>
                <w:b/>
                <w:iCs/>
                <w:color w:val="0073AE"/>
              </w:rPr>
            </w:pPr>
            <w:r w:rsidRPr="005F138D">
              <w:rPr>
                <w:rFonts w:cstheme="minorHAnsi"/>
                <w:iCs/>
                <w:noProof/>
              </w:rPr>
              <w:t>4/25/2025 12:00:00 PM</w:t>
            </w:r>
          </w:p>
        </w:tc>
        <w:tc>
          <w:tcPr>
            <w:tcW w:w="1437" w:type="dxa"/>
          </w:tcPr>
          <w:p w:rsidR="00373A01" w:rsidRPr="005F138D" w:rsidP="00373A01">
            <w:pPr>
              <w:spacing w:before="60" w:after="60"/>
              <w:rPr>
                <w:rFonts w:cstheme="minorHAnsi"/>
                <w:b/>
                <w:iCs/>
                <w:color w:val="0073AE"/>
              </w:rPr>
            </w:pPr>
            <w:r w:rsidRPr="005F138D">
              <w:rPr>
                <w:rFonts w:cstheme="minorHAnsi"/>
                <w:b/>
                <w:iCs/>
                <w:color w:val="0073AE"/>
              </w:rPr>
              <w:t>Activity ID:</w:t>
            </w:r>
          </w:p>
        </w:tc>
        <w:tc>
          <w:tcPr>
            <w:tcW w:w="2338" w:type="dxa"/>
          </w:tcPr>
          <w:p w:rsidR="00373A01" w:rsidRPr="005F138D" w:rsidP="00373A01">
            <w:pPr>
              <w:spacing w:before="60" w:after="60"/>
              <w:rPr>
                <w:rFonts w:cstheme="minorHAnsi"/>
                <w:b/>
                <w:iCs/>
                <w:color w:val="0073AE"/>
              </w:rPr>
            </w:pPr>
            <w:r w:rsidRPr="005F138D">
              <w:rPr>
                <w:rFonts w:cstheme="minorHAnsi"/>
                <w:b/>
                <w:iCs/>
                <w:color w:val="FF0000"/>
              </w:rPr>
              <w:t>21402</w:t>
            </w:r>
          </w:p>
        </w:tc>
      </w:tr>
      <w:tr w:rsidTr="00B626F9">
        <w:tblPrEx>
          <w:tblW w:w="0" w:type="auto"/>
          <w:tblLayout w:type="fixed"/>
          <w:tblLook w:val="04A0"/>
        </w:tblPrEx>
        <w:tc>
          <w:tcPr>
            <w:tcW w:w="1435" w:type="dxa"/>
          </w:tcPr>
          <w:p w:rsidR="00373A01" w:rsidRPr="005F138D" w:rsidP="00373A01">
            <w:pPr>
              <w:spacing w:before="60" w:after="60"/>
              <w:rPr>
                <w:rFonts w:cstheme="minorHAnsi"/>
                <w:b/>
                <w:iCs/>
                <w:color w:val="0073AE"/>
              </w:rPr>
            </w:pPr>
            <w:r w:rsidRPr="005F138D">
              <w:rPr>
                <w:rFonts w:cstheme="minorHAnsi"/>
                <w:b/>
                <w:iCs/>
                <w:color w:val="0073AE"/>
              </w:rPr>
              <w:t>Location:</w:t>
            </w:r>
          </w:p>
        </w:tc>
        <w:tc>
          <w:tcPr>
            <w:tcW w:w="7920" w:type="dxa"/>
            <w:gridSpan w:val="3"/>
          </w:tcPr>
          <w:p w:rsidR="00CF4608" w:rsidRPr="005F138D" w:rsidP="00373A01">
            <w:pPr>
              <w:spacing w:before="60" w:after="60"/>
              <w:rPr>
                <w:rFonts w:cstheme="minorHAnsi"/>
                <w:iCs/>
                <w:noProof/>
              </w:rPr>
            </w:pPr>
            <w:r w:rsidRPr="005F138D">
              <w:rPr>
                <w:rFonts w:cstheme="minorHAnsi"/>
                <w:iCs/>
                <w:noProof/>
              </w:rPr>
              <w:t>Virtual Meeting</w:t>
            </w:r>
          </w:p>
        </w:tc>
      </w:tr>
      <w:tr w:rsidTr="00B626F9">
        <w:tblPrEx>
          <w:tblW w:w="0" w:type="auto"/>
          <w:tblLayout w:type="fixed"/>
          <w:tblLook w:val="04A0"/>
        </w:tblPrEx>
        <w:tc>
          <w:tcPr>
            <w:tcW w:w="1435" w:type="dxa"/>
          </w:tcPr>
          <w:p w:rsidR="00CF4608" w:rsidRPr="005F138D" w:rsidP="00373A01">
            <w:pPr>
              <w:spacing w:before="60" w:after="60"/>
              <w:rPr>
                <w:rFonts w:cstheme="minorHAnsi"/>
                <w:b/>
                <w:iCs/>
                <w:color w:val="0073AE"/>
              </w:rPr>
            </w:pPr>
            <w:r w:rsidRPr="005F138D">
              <w:rPr>
                <w:rFonts w:cstheme="minorHAnsi"/>
                <w:b/>
                <w:iCs/>
                <w:color w:val="0073AE"/>
              </w:rPr>
              <w:t>Topic</w:t>
            </w:r>
          </w:p>
        </w:tc>
        <w:tc>
          <w:tcPr>
            <w:tcW w:w="7920" w:type="dxa"/>
            <w:gridSpan w:val="3"/>
          </w:tcPr>
          <w:p w:rsidR="00CF4608" w:rsidRPr="005F138D" w:rsidP="00373A01">
            <w:pPr>
              <w:spacing w:before="60" w:after="60"/>
              <w:rPr>
                <w:rFonts w:cstheme="minorHAnsi"/>
                <w:iCs/>
                <w:noProof/>
              </w:rPr>
            </w:pPr>
            <w:r>
              <w:rPr>
                <w:rtl w:val="0"/>
              </w:rPr>
              <w:t>Neurology Grand Rounds are designed for the neurology community, fostering collaboration and advancing the understanding of neurological disorders and treatments. The 2025 edition promises to be the most comprehensive and impactful yet, featuring a diverse array of presentations, and interactive sessions designed to address the most pressing challenges and emerging trends in the field.</w:t>
            </w:r>
          </w:p>
        </w:tc>
      </w:tr>
    </w:tbl>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Objectives:</w:t>
      </w:r>
    </w:p>
    <w:p w:rsidR="00805127" w:rsidRPr="005F138D" w:rsidP="00602C5E">
      <w:pPr>
        <w:spacing w:after="120" w:line="240" w:lineRule="auto"/>
        <w:rPr>
          <w:rFonts w:eastAsia="Times New Roman" w:cstheme="minorHAnsi"/>
          <w:bCs/>
          <w:iCs/>
          <w:sz w:val="20"/>
          <w:szCs w:val="20"/>
        </w:rPr>
      </w:pPr>
      <w:r w:rsidRPr="005F138D">
        <w:rPr>
          <w:rFonts w:eastAsia="Times New Roman" w:cstheme="minorHAnsi"/>
          <w:bCs/>
          <w:iCs/>
          <w:sz w:val="20"/>
          <w:szCs w:val="20"/>
        </w:rPr>
        <w:t>A</w:t>
      </w:r>
      <w:r w:rsidR="00C63AD9">
        <w:rPr>
          <w:rFonts w:eastAsia="Times New Roman" w:cstheme="minorHAnsi"/>
          <w:bCs/>
          <w:iCs/>
          <w:sz w:val="20"/>
          <w:szCs w:val="20"/>
        </w:rPr>
        <w:t>fter</w:t>
      </w:r>
      <w:r w:rsidRPr="005F138D">
        <w:rPr>
          <w:rFonts w:eastAsia="Times New Roman" w:cstheme="minorHAnsi"/>
          <w:bCs/>
          <w:iCs/>
          <w:sz w:val="20"/>
          <w:szCs w:val="20"/>
        </w:rPr>
        <w:t xml:space="preserve"> this activity, the participant will be able to:</w:t>
      </w:r>
    </w:p>
    <w:p w:rsidR="00810AC6"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IF </w:instrText>
      </w:r>
      <w:r w:rsidRPr="005F138D" w:rsidR="00373A01">
        <w:rPr>
          <w:rFonts w:eastAsia="Times New Roman" w:cstheme="minorHAnsi"/>
          <w:iCs/>
          <w:noProof/>
          <w:sz w:val="20"/>
          <w:szCs w:val="20"/>
        </w:rPr>
        <w:instrText>"</w:instrText>
      </w:r>
      <w:r w:rsidRPr="005F138D" w:rsidR="00373A01">
        <w:rPr>
          <w:rFonts w:eastAsia="Times New Roman" w:cstheme="minorHAnsi"/>
          <w:iCs/>
          <w:noProof/>
          <w:sz w:val="20"/>
          <w:szCs w:val="20"/>
        </w:rPr>
        <w:instrText>"</w:instrText>
      </w:r>
      <w:r w:rsidRPr="005F138D">
        <w:rPr>
          <w:rFonts w:eastAsia="Times New Roman" w:cstheme="minorHAnsi"/>
          <w:iCs/>
          <w:noProof/>
          <w:sz w:val="20"/>
          <w:szCs w:val="20"/>
        </w:rPr>
        <w:instrText xml:space="preserve"> &gt; 0 “</w:instrText>
      </w:r>
    </w:p>
    <w:p w:rsidR="00053340"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fldChar w:fldCharType="begin"/>
      </w:r>
      <w:r w:rsidRPr="005F138D">
        <w:rPr>
          <w:rFonts w:eastAsia="Times New Roman" w:cstheme="minorHAnsi"/>
          <w:iCs/>
          <w:noProof/>
          <w:sz w:val="20"/>
          <w:szCs w:val="20"/>
        </w:rPr>
        <w:instrText xml:space="preserve"> MERGEFIELD PharmObjectives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fldChar w:fldCharType="end"/>
      </w:r>
      <w:r w:rsidRPr="005F138D">
        <w:rPr>
          <w:rFonts w:eastAsia="Times New Roman" w:cstheme="minorHAnsi"/>
          <w:iCs/>
          <w:noProof/>
          <w:sz w:val="20"/>
          <w:szCs w:val="20"/>
        </w:rPr>
        <w:instrText>” “</w:instrText>
      </w:r>
      <w:r w:rsidRPr="005F138D">
        <w:rPr>
          <w:rFonts w:eastAsia="Times New Roman" w:cstheme="minorHAnsi"/>
          <w:iCs/>
          <w:noProof/>
          <w:sz w:val="20"/>
          <w:szCs w:val="20"/>
        </w:rPr>
        <w:instrText>1 Integrate Technology effectively into your teaching.</w:instrTex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instrText xml:space="preserve">2 Explore digital tools for technology enhanced learning and teaching </w:instrText>
      </w:r>
      <w:r w:rsidRPr="005F138D">
        <w:rPr>
          <w:rFonts w:eastAsia="Times New Roman" w:cstheme="minorHAnsi"/>
          <w:iCs/>
          <w:noProof/>
          <w:sz w:val="20"/>
          <w:szCs w:val="20"/>
        </w:rPr>
        <w:instrText xml:space="preserve">” </w:instrText>
      </w:r>
      <w:r w:rsidRPr="005F138D">
        <w:rPr>
          <w:rFonts w:eastAsia="Times New Roman" w:cstheme="minorHAnsi"/>
          <w:iCs/>
          <w:noProof/>
          <w:sz w:val="20"/>
          <w:szCs w:val="20"/>
        </w:rPr>
        <w:fldChar w:fldCharType="separate"/>
      </w:r>
      <w:r w:rsidRPr="005F138D">
        <w:rPr>
          <w:rFonts w:eastAsia="Times New Roman" w:cstheme="minorHAnsi"/>
          <w:iCs/>
          <w:noProof/>
          <w:sz w:val="20"/>
          <w:szCs w:val="20"/>
        </w:rPr>
        <w:t>1 Integrate Technology effectively into your teaching.</w:t>
      </w:r>
    </w:p>
    <w:p w:rsidRPr="005F138D" w:rsidP="00602C5E">
      <w:pPr>
        <w:spacing w:after="120" w:line="240" w:lineRule="auto"/>
        <w:rPr>
          <w:rFonts w:eastAsia="Times New Roman" w:cstheme="minorHAnsi"/>
          <w:iCs/>
          <w:noProof/>
          <w:sz w:val="20"/>
          <w:szCs w:val="20"/>
        </w:rPr>
      </w:pPr>
      <w:r w:rsidRPr="005F138D">
        <w:rPr>
          <w:rFonts w:eastAsia="Times New Roman" w:cstheme="minorHAnsi"/>
          <w:iCs/>
          <w:noProof/>
          <w:sz w:val="20"/>
          <w:szCs w:val="20"/>
        </w:rPr>
        <w:t xml:space="preserve">2 Explore digital tools for technology enhanced learning and teaching </w:t>
      </w:r>
      <w:r w:rsidRPr="005F138D">
        <w:rPr>
          <w:rFonts w:eastAsia="Times New Roman" w:cstheme="minorHAnsi"/>
          <w:iCs/>
          <w:noProof/>
          <w:sz w:val="20"/>
          <w:szCs w:val="20"/>
        </w:rPr>
        <w:fldChar w:fldCharType="end"/>
      </w:r>
    </w:p>
    <w:p w:rsidR="00373A01" w:rsidRPr="005F138D" w:rsidP="00053340">
      <w:pPr>
        <w:spacing w:after="120" w:line="240" w:lineRule="auto"/>
        <w:rPr>
          <w:rFonts w:eastAsia="Times New Roman" w:cstheme="minorHAnsi"/>
          <w:iCs/>
          <w:sz w:val="20"/>
          <w:szCs w:val="20"/>
        </w:rPr>
      </w:pPr>
      <w:r w:rsidRPr="005F138D">
        <w:rPr>
          <w:rFonts w:eastAsia="Times New Roman" w:cstheme="minorHAnsi"/>
          <w:b/>
          <w:iCs/>
          <w:color w:val="0073AE"/>
        </w:rPr>
        <w:t>Accreditation:</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w:instrText>
      </w:r>
      <w:r w:rsidRPr="005F138D" w:rsidR="00061F86">
        <w:rPr>
          <w:rFonts w:eastAsia="Times New Roman" w:cstheme="minorHAnsi"/>
          <w:bCs/>
          <w:iCs/>
          <w:color w:val="000000"/>
          <w:sz w:val="20"/>
          <w:szCs w:val="20"/>
        </w:rPr>
        <w:instrText>&lt;</w:instrText>
      </w:r>
      <w:r w:rsidRPr="005F138D">
        <w:rPr>
          <w:rFonts w:eastAsia="Times New Roman" w:cstheme="minorHAnsi"/>
          <w:bCs/>
          <w:iCs/>
          <w:color w:val="000000"/>
          <w:sz w:val="20"/>
          <w:szCs w:val="20"/>
        </w:rPr>
        <w:instrText>&gt; 0 "</w:instrText>
      </w:r>
    </w:p>
    <w:p w:rsidR="00373A01" w:rsidRPr="005F138D" w:rsidP="00373A01">
      <w:pPr>
        <w:spacing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Accreditation Council for Pharmacy Education (ACPE)</w:instrText>
      </w:r>
    </w:p>
    <w:p w:rsidR="00A44D74" w:rsidRPr="005F138D" w:rsidP="00053340">
      <w:pPr>
        <w:spacing w:after="120" w:line="240" w:lineRule="auto"/>
        <w:rPr>
          <w:rFonts w:eastAsia="Times New Roman" w:cstheme="minorHAnsi"/>
          <w:iCs/>
          <w:noProof/>
          <w:sz w:val="20"/>
          <w:szCs w:val="20"/>
        </w:rPr>
      </w:pPr>
      <w:r w:rsidRPr="005F138D">
        <w:rPr>
          <w:rFonts w:eastAsia="Times New Roman" w:cstheme="minorHAnsi"/>
          <w:bCs/>
          <w:noProof/>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13640</wp:posOffset>
            </wp:positionV>
            <wp:extent cx="357505" cy="365760"/>
            <wp:effectExtent l="0" t="0" r="4445" b="0"/>
            <wp:wrapSquare wrapText="bothSides"/>
            <wp:docPr id="25" name="Picture 25"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4.png"/>
                    <pic:cNvPicPr/>
                  </pic:nvPicPr>
                  <pic:blipFill rotWithShape="1">
                    <a:blip xmlns:r="http://schemas.openxmlformats.org/officeDocument/2006/relationships" r:embed="rId5"/>
                    <a:srcRect l="10628" t="3007" b="9151"/>
                    <a:stretch/>
                  </pic:blipFill>
                  <pic:spPr bwMode="auto">
                    <a:xfrm>
                      <a:off x="0" y="0"/>
                      <a:ext cx="357505" cy="36576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This activity provides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ACPEMax </w:instrText>
      </w:r>
      <w:r w:rsidRPr="005F138D" w:rsidR="009A1B2A">
        <w:rPr>
          <w:rFonts w:eastAsia="Times New Roman" w:cstheme="minorHAnsi"/>
          <w:bCs/>
          <w:iCs/>
          <w:color w:val="000000"/>
          <w:sz w:val="20"/>
          <w:szCs w:val="20"/>
        </w:rPr>
        <w:instrText xml:space="preserve">\# 0.00# </w:instrText>
      </w:r>
      <w:r w:rsidRPr="005F138D">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contact hours of continuing education.</w:instrText>
      </w:r>
      <w:r w:rsidRPr="005F138D">
        <w:rPr>
          <w:rFonts w:eastAsia="Times New Roman" w:cstheme="minorHAnsi"/>
          <w:bCs/>
          <w:iCs/>
          <w:color w:val="000000"/>
          <w:sz w:val="20"/>
          <w:szCs w:val="20"/>
        </w:rPr>
        <w:fldChar w:fldCharType="separate"/>
      </w:r>
      <w:r w:rsidRPr="005F138D" w:rsidR="00373A01">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t xml:space="preserve"> ACPE Universal Activity Number (UAN): </w: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IF </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w:instrText>
      </w:r>
      <w:r w:rsidRPr="005F138D" w:rsidR="009A1B2A">
        <w:rPr>
          <w:rFonts w:eastAsia="Times New Roman" w:cstheme="minorHAnsi"/>
          <w:bCs/>
          <w:iCs/>
          <w:color w:val="000000"/>
          <w:sz w:val="20"/>
          <w:szCs w:val="20"/>
        </w:rPr>
        <w:instrText xml:space="preserve"> &lt;&gt; "" "Pharmacists: </w:instrText>
      </w:r>
      <w:r w:rsidRPr="005F138D" w:rsidR="009A1B2A">
        <w:rPr>
          <w:rFonts w:eastAsia="Times New Roman" w:cstheme="minorHAnsi"/>
          <w:bCs/>
          <w:iCs/>
          <w:color w:val="000000"/>
          <w:sz w:val="20"/>
          <w:szCs w:val="20"/>
        </w:rPr>
        <w:fldChar w:fldCharType="begin"/>
      </w:r>
      <w:r w:rsidRPr="005F138D" w:rsidR="009A1B2A">
        <w:rPr>
          <w:rFonts w:eastAsia="Times New Roman" w:cstheme="minorHAnsi"/>
          <w:bCs/>
          <w:iCs/>
          <w:color w:val="000000"/>
          <w:sz w:val="20"/>
          <w:szCs w:val="20"/>
        </w:rPr>
        <w:instrText xml:space="preserve"> MERGEFIELD ACPEPharmUAN </w:instrText>
      </w:r>
      <w:r w:rsidRPr="005F138D" w:rsidR="009A1B2A">
        <w:rPr>
          <w:rFonts w:eastAsia="Times New Roman" w:cstheme="minorHAnsi"/>
          <w:bCs/>
          <w:iCs/>
          <w:color w:val="000000"/>
          <w:sz w:val="20"/>
          <w:szCs w:val="20"/>
        </w:rPr>
        <w:fldChar w:fldCharType="separate"/>
      </w:r>
      <w:r>
        <w:rPr>
          <w:rFonts w:eastAsia="Times New Roman" w:cstheme="minorHAnsi"/>
          <w:bCs/>
          <w:iCs/>
          <w:noProof/>
          <w:color w:val="000000"/>
          <w:sz w:val="20"/>
          <w:szCs w:val="20"/>
        </w:rPr>
        <w:instrText>«ACPEPharmUAN»</w:instrText>
      </w:r>
      <w:r w:rsidRPr="005F138D" w:rsidR="009A1B2A">
        <w:rPr>
          <w:rFonts w:eastAsia="Times New Roman" w:cstheme="minorHAnsi"/>
          <w:bCs/>
          <w:iCs/>
          <w:color w:val="000000"/>
          <w:sz w:val="20"/>
          <w:szCs w:val="20"/>
        </w:rPr>
        <w:fldChar w:fldCharType="end"/>
      </w:r>
      <w:r w:rsidRPr="005F138D" w:rsidR="009A1B2A">
        <w:rPr>
          <w:rFonts w:eastAsia="Times New Roman" w:cstheme="minorHAnsi"/>
          <w:bCs/>
          <w:iCs/>
          <w:color w:val="000000"/>
          <w:sz w:val="20"/>
          <w:szCs w:val="20"/>
        </w:rPr>
        <w:instrText xml:space="preserve">" " Technician: </w:instrText>
      </w:r>
      <w:r w:rsidRPr="005F138D" w:rsidR="009A1B2A">
        <w:rPr>
          <w:rFonts w:eastAsia="Times New Roman" w:cstheme="minorHAnsi"/>
          <w:bCs/>
          <w:iCs/>
          <w:color w:val="000000"/>
          <w:sz w:val="20"/>
          <w:szCs w:val="20"/>
        </w:rPr>
        <w:instrText xml:space="preserve">" </w:instrText>
      </w:r>
      <w:r w:rsidRPr="005F138D" w:rsidR="009A1B2A">
        <w:rPr>
          <w:rFonts w:eastAsia="Times New Roman" w:cstheme="minorHAnsi"/>
          <w:bCs/>
          <w:iCs/>
          <w:color w:val="000000"/>
          <w:sz w:val="20"/>
          <w:szCs w:val="20"/>
        </w:rPr>
        <w:fldChar w:fldCharType="separate"/>
      </w:r>
      <w:r w:rsidRPr="005F138D" w:rsidR="009A1B2A">
        <w:rPr>
          <w:rFonts w:eastAsia="Times New Roman" w:cstheme="minorHAnsi"/>
          <w:bCs/>
          <w:iCs/>
          <w:color w:val="000000"/>
          <w:sz w:val="20"/>
          <w:szCs w:val="20"/>
        </w:rPr>
        <w:t xml:space="preserve"> Technician: </w:t>
      </w:r>
      <w:r w:rsidRPr="005F138D" w:rsidR="009A1B2A">
        <w:rPr>
          <w:rFonts w:eastAsia="Times New Roman" w:cstheme="minorHAnsi"/>
          <w:bCs/>
          <w:iCs/>
          <w:color w:val="000000"/>
          <w:sz w:val="20"/>
          <w:szCs w:val="20"/>
        </w:rPr>
        <w:fldChar w:fldCharType="end"/>
      </w:r>
      <w:r w:rsidRPr="005F138D" w:rsidR="00373A01">
        <w:rPr>
          <w:rFonts w:eastAsia="Times New Roman" w:cstheme="minorHAnsi"/>
          <w:bCs/>
          <w:iCs/>
          <w:color w:val="000000"/>
          <w:sz w:val="20"/>
          <w:szCs w:val="20"/>
        </w:rPr>
        <w:fldChar w:fldCharType="begin"/>
      </w:r>
      <w:r w:rsidRPr="005F138D" w:rsidR="00373A01">
        <w:rPr>
          <w:rFonts w:eastAsia="Times New Roman" w:cstheme="minorHAnsi"/>
          <w:bCs/>
          <w:iCs/>
          <w:color w:val="000000"/>
          <w:sz w:val="20"/>
          <w:szCs w:val="20"/>
        </w:rPr>
        <w:instrText xml:space="preserve"> IF </w:instrText>
      </w:r>
      <w:r w:rsidRPr="005F138D" w:rsidR="00373A01">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College of Sports Medicine (ACSM)</w:instrText>
      </w:r>
    </w:p>
    <w:p w:rsidR="00373A01" w:rsidRPr="005F138D" w:rsidP="00373A01">
      <w:pPr>
        <w:spacing w:after="0" w:line="240" w:lineRule="auto"/>
        <w:rPr>
          <w:rFonts w:eastAsia="Times New Roman" w:cstheme="minorHAnsi"/>
          <w:sz w:val="20"/>
          <w:szCs w:val="20"/>
        </w:rPr>
      </w:pPr>
      <w:r w:rsidRPr="005F138D">
        <w:rPr>
          <w:rFonts w:eastAsia="Times New Roman" w:cstheme="minorHAnsi"/>
          <w:noProof/>
          <w:sz w:val="20"/>
          <w:szCs w:val="20"/>
        </w:rPr>
        <w:drawing>
          <wp:anchor distT="0" distB="0" distL="114300" distR="114300" simplePos="0" relativeHeight="251663360" behindDoc="0" locked="0" layoutInCell="1" allowOverlap="1">
            <wp:simplePos x="0" y="0"/>
            <wp:positionH relativeFrom="margin">
              <wp:posOffset>0</wp:posOffset>
            </wp:positionH>
            <wp:positionV relativeFrom="paragraph">
              <wp:posOffset>9195</wp:posOffset>
            </wp:positionV>
            <wp:extent cx="365760" cy="357505"/>
            <wp:effectExtent l="0" t="0" r="0" b="4445"/>
            <wp:wrapSquare wrapText="bothSides"/>
            <wp:docPr id="6" name="Picture 6" descr="A picture containing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metalware, chain&#10;&#10;Description automatically generated"/>
                    <pic:cNvPicPr/>
                  </pic:nvPicPr>
                  <pic:blipFill>
                    <a:blip xmlns:r="http://schemas.openxmlformats.org/officeDocument/2006/relationships" r:embed="rId6"/>
                    <a:stretch>
                      <a:fillRect/>
                    </a:stretch>
                  </pic:blipFill>
                  <pic:spPr>
                    <a:xfrm>
                      <a:off x="0" y="0"/>
                      <a:ext cx="365760" cy="357505"/>
                    </a:xfrm>
                    <a:prstGeom prst="rect">
                      <a:avLst/>
                    </a:prstGeom>
                  </pic:spPr>
                </pic:pic>
              </a:graphicData>
            </a:graphic>
          </wp:anchor>
        </w:drawing>
      </w:r>
      <w:r w:rsidRPr="005F138D">
        <w:rPr>
          <w:rFonts w:eastAsia="Times New Roman" w:cstheme="minorHAnsi"/>
          <w:sz w:val="20"/>
          <w:szCs w:val="20"/>
        </w:rPr>
        <w:instrText>The American College of Sports Medicine’s Professional Education Committee certifies that AdventHealth Orlando meets the criteria for official ACSM Approved Provider status from 2021-2023.</w:instrText>
      </w:r>
    </w:p>
    <w:p w:rsidR="00373A01" w:rsidRPr="005F138D" w:rsidP="00373A01">
      <w:pPr>
        <w:spacing w:after="0" w:line="240" w:lineRule="auto"/>
        <w:jc w:val="both"/>
        <w:rPr>
          <w:rFonts w:eastAsia="Times New Roman" w:cstheme="minorHAnsi"/>
          <w:sz w:val="20"/>
          <w:szCs w:val="20"/>
        </w:rPr>
      </w:pPr>
    </w:p>
    <w:p w:rsidR="00373A01" w:rsidRPr="005F138D" w:rsidP="00373A01">
      <w:pPr>
        <w:tabs>
          <w:tab w:val="left" w:pos="6480"/>
        </w:tabs>
        <w:spacing w:after="0" w:line="240" w:lineRule="auto"/>
        <w:rPr>
          <w:rFonts w:eastAsia="Times New Roman" w:cstheme="minorHAnsi"/>
          <w:sz w:val="20"/>
          <w:szCs w:val="20"/>
        </w:rPr>
      </w:pPr>
      <w:r w:rsidRPr="005F138D">
        <w:rPr>
          <w:rFonts w:eastAsia="Times New Roman" w:cstheme="minorHAnsi"/>
          <w:sz w:val="20"/>
          <w:szCs w:val="20"/>
        </w:rPr>
        <w:instrText xml:space="preserve">Approved Provider Number: </w:instrTex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sz w:val="20"/>
          <w:szCs w:val="20"/>
        </w:rPr>
        <w:instrText xml:space="preserve">CECs Awarded: </w:instrText>
      </w:r>
      <w:r w:rsidRPr="005F138D">
        <w:rPr>
          <w:rFonts w:eastAsia="Times New Roman" w:cstheme="minorHAnsi"/>
          <w:sz w:val="20"/>
          <w:szCs w:val="20"/>
        </w:rPr>
        <w:instrText>" ""</w:instrText>
      </w:r>
      <w:r w:rsidRPr="005F138D">
        <w:rPr>
          <w:rFonts w:eastAsia="Times New Roman" w:cstheme="minorHAnsi"/>
          <w:bCs/>
          <w:iCs/>
          <w:color w:val="000000"/>
          <w:sz w:val="20"/>
          <w:szCs w:val="20"/>
        </w:rPr>
        <w:instrText xml:space="preserve">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&lt;&gt;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has been planned and implemented in accordance with the accreditation requirements and policies of the Florida Medical Association (FMA) through the joint providership of AdventHealth Orlando and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JointProvidershipName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«JointProvidershipName»</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AdventHealth Orlando is accredited by the FMA to provide continuing medical education for physicians.</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ActivityFormat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«ActivityFormat»</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MERGEFIELD </w:instrText>
      </w:r>
      <w:r w:rsidRPr="005F138D" w:rsidR="00E81A45">
        <w:rPr>
          <w:rFonts w:eastAsia="Times New Roman" w:cstheme="minorHAnsi"/>
          <w:bCs/>
          <w:iCs/>
          <w:color w:val="000000"/>
          <w:sz w:val="20"/>
          <w:szCs w:val="20"/>
        </w:rPr>
        <w:instrText>Physician</w:instrText>
      </w:r>
      <w:r w:rsidRPr="005F138D">
        <w:rPr>
          <w:rFonts w:eastAsia="Times New Roman" w:cstheme="minorHAnsi"/>
          <w:bCs/>
          <w:iCs/>
          <w:color w:val="000000"/>
          <w:sz w:val="20"/>
          <w:szCs w:val="20"/>
        </w:rPr>
        <w:instrText xml:space="preserve">Max \# 0.00# </w:instrText>
      </w:r>
      <w:r w:rsidRPr="005F138D">
        <w:rPr>
          <w:rFonts w:eastAsia="Times New Roman" w:cstheme="minorHAnsi"/>
          <w:bCs/>
          <w:iCs/>
          <w:color w:val="000000"/>
          <w:sz w:val="20"/>
          <w:szCs w:val="20"/>
        </w:rPr>
        <w:fldChar w:fldCharType="separate"/>
      </w:r>
      <w:r w:rsidR="00A44D74">
        <w:rPr>
          <w:rFonts w:eastAsia="Times New Roman" w:cstheme="minorHAnsi"/>
          <w:bCs/>
          <w:iCs/>
          <w:noProof/>
          <w:color w:val="000000"/>
          <w:sz w:val="20"/>
          <w:szCs w:val="20"/>
        </w:rPr>
        <w:instrText>«PhysicianMax»</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xml:space="preserve">. Physicians should only claim the credit commensurate with the extent of their participation in the activity."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w:instrText>
      </w:r>
      <w:r w:rsidRPr="005F138D">
        <w:rPr>
          <w:rFonts w:eastAsia="Times New Roman" w:cstheme="minorHAnsi"/>
          <w:bCs/>
          <w:iCs/>
          <w:color w:val="000000"/>
          <w:sz w:val="20"/>
          <w:szCs w:val="20"/>
        </w:rPr>
        <w:instrText xml:space="preserve"> = ""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00A44D74" w:rsidRPr="005F138D" w:rsidP="00373A01">
      <w:pPr>
        <w:tabs>
          <w:tab w:val="left" w:pos="6480"/>
        </w:tabs>
        <w:spacing w:before="120" w:after="0" w:line="240" w:lineRule="auto"/>
        <w:rPr>
          <w:rFonts w:eastAsia="Times New Roman" w:cstheme="minorHAnsi"/>
          <w:bCs/>
          <w:iCs/>
          <w:noProof/>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Medical Association (AMA)</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AdventHealth Orlando is accredited by the Florida Medical Association (FMA) to provide continuing medical education for physicians.</w:instrText>
      </w:r>
    </w:p>
    <w:p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AdventHealth Orlando designates this </w:instrText>
      </w:r>
      <w:r w:rsidRPr="005F138D">
        <w:rPr>
          <w:rFonts w:eastAsia="Times New Roman" w:cstheme="minorHAnsi"/>
          <w:bCs/>
          <w:iCs/>
          <w:color w:val="000000"/>
          <w:sz w:val="20"/>
          <w:szCs w:val="20"/>
        </w:rPr>
        <w:instrText>Live Activity</w:instrText>
      </w:r>
      <w:r w:rsidRPr="005F138D">
        <w:rPr>
          <w:rFonts w:eastAsia="Times New Roman" w:cstheme="minorHAnsi"/>
          <w:bCs/>
          <w:iCs/>
          <w:color w:val="000000"/>
          <w:sz w:val="20"/>
          <w:szCs w:val="20"/>
        </w:rPr>
        <w:instrText xml:space="preserve"> for a maximum of </w:instrText>
      </w:r>
      <w:r w:rsidRPr="005F138D">
        <w:rPr>
          <w:rFonts w:eastAsia="Times New Roman" w:cstheme="minorHAnsi"/>
          <w:bCs/>
          <w:iCs/>
          <w:color w:val="000000"/>
          <w:sz w:val="20"/>
          <w:szCs w:val="20"/>
        </w:rPr>
        <w:instrText>1.00</w:instrText>
      </w:r>
      <w:r w:rsidRPr="005F138D">
        <w:rPr>
          <w:rFonts w:eastAsia="Times New Roman" w:cstheme="minorHAnsi"/>
          <w:bCs/>
          <w:iCs/>
          <w:color w:val="000000"/>
          <w:sz w:val="20"/>
          <w:szCs w:val="20"/>
        </w:rPr>
        <w:instrText xml:space="preserve"> </w:instrText>
      </w:r>
      <w:r w:rsidRPr="005F138D">
        <w:rPr>
          <w:rFonts w:eastAsia="Times New Roman" w:cstheme="minorHAnsi"/>
          <w:bCs/>
          <w:i/>
          <w:color w:val="000000"/>
          <w:sz w:val="20"/>
          <w:szCs w:val="20"/>
        </w:rPr>
        <w:instrText>AMA PRA Category 1 Credit(s)™</w:instrText>
      </w:r>
      <w:r w:rsidRPr="005F138D">
        <w:rPr>
          <w:rFonts w:eastAsia="Times New Roman" w:cstheme="minorHAnsi"/>
          <w:bCs/>
          <w:iCs/>
          <w:color w:val="000000"/>
          <w:sz w:val="20"/>
          <w:szCs w:val="20"/>
        </w:rPr>
        <w:instrText>. Physicians should only claim the credit commensurate with the extent of their participation in the activity.</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separate"/>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American Medical Association (AMA)</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AdventHealth Orlando is accredited by the Florida Medical Association (FMA) to provide continuing medical education for physicians.</w:t>
      </w:r>
    </w:p>
    <w:p w:rsidR="00373A01" w:rsidRPr="005F138D" w:rsidP="00373A01">
      <w:pPr>
        <w:tabs>
          <w:tab w:val="left" w:pos="6480"/>
        </w:tabs>
        <w:spacing w:before="120" w:after="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 xml:space="preserve">AdventHealth Orlando designates this </w:t>
      </w:r>
      <w:r w:rsidRPr="005F138D">
        <w:rPr>
          <w:rFonts w:eastAsia="Times New Roman" w:cstheme="minorHAnsi"/>
          <w:bCs/>
          <w:iCs/>
          <w:color w:val="000000"/>
          <w:sz w:val="20"/>
          <w:szCs w:val="20"/>
        </w:rPr>
        <w:t>Live Activity</w:t>
      </w:r>
      <w:r w:rsidRPr="005F138D">
        <w:rPr>
          <w:rFonts w:eastAsia="Times New Roman" w:cstheme="minorHAnsi"/>
          <w:bCs/>
          <w:iCs/>
          <w:color w:val="000000"/>
          <w:sz w:val="20"/>
          <w:szCs w:val="20"/>
        </w:rPr>
        <w:t xml:space="preserve"> for a maximum of </w:t>
      </w:r>
      <w:r w:rsidRPr="005F138D">
        <w:rPr>
          <w:rFonts w:eastAsia="Times New Roman" w:cstheme="minorHAnsi"/>
          <w:bCs/>
          <w:iCs/>
          <w:color w:val="000000"/>
          <w:sz w:val="20"/>
          <w:szCs w:val="20"/>
        </w:rPr>
        <w:t>1.00</w:t>
      </w:r>
      <w:r w:rsidRPr="005F138D">
        <w:rPr>
          <w:rFonts w:eastAsia="Times New Roman" w:cstheme="minorHAnsi"/>
          <w:bCs/>
          <w:iCs/>
          <w:color w:val="000000"/>
          <w:sz w:val="20"/>
          <w:szCs w:val="20"/>
        </w:rPr>
        <w:t xml:space="preserve"> </w:t>
      </w:r>
      <w:r w:rsidRPr="005F138D">
        <w:rPr>
          <w:rFonts w:eastAsia="Times New Roman" w:cstheme="minorHAnsi"/>
          <w:bCs/>
          <w:i/>
          <w:color w:val="000000"/>
          <w:sz w:val="20"/>
          <w:szCs w:val="20"/>
        </w:rPr>
        <w:t>AMA PRA Category 1 Credit(s)™</w:t>
      </w:r>
      <w:r w:rsidRPr="005F138D">
        <w:rPr>
          <w:rFonts w:eastAsia="Times New Roman" w:cstheme="minorHAnsi"/>
          <w:bCs/>
          <w:iCs/>
          <w:color w:val="000000"/>
          <w:sz w:val="20"/>
          <w:szCs w:val="20"/>
        </w:rPr>
        <w:t>. Physicians should only claim the credit commensurate with the extent of their participation in the activity.</w:t>
      </w:r>
      <w:r w:rsidRPr="005F138D">
        <w:rPr>
          <w:rFonts w:eastAsia="Times New Roman" w:cstheme="minorHAnsi"/>
          <w:bCs/>
          <w:iCs/>
          <w:color w:val="000000"/>
          <w:sz w:val="20"/>
          <w:szCs w:val="20"/>
        </w:rPr>
        <w:fldChar w:fldCharType="end"/>
      </w:r>
      <w:r w:rsidRPr="005F138D">
        <w:rPr>
          <w:rFonts w:eastAsia="Times New Roman" w:cstheme="minorHAnsi"/>
          <w:color w:val="000000"/>
          <w:sz w:val="20"/>
          <w:szCs w:val="20"/>
        </w:rPr>
        <w:t xml:space="preserve"> </w:t>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1-A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color w:val="000000"/>
          <w:sz w:val="20"/>
          <w:szCs w:val="20"/>
        </w:rPr>
      </w:pPr>
      <w:r w:rsidRPr="005F138D">
        <w:rPr>
          <w:rFonts w:eastAsia="Times New Roman" w:cstheme="minorHAnsi"/>
          <w:b/>
          <w:bCs/>
          <w:color w:val="000000"/>
          <w:sz w:val="20"/>
          <w:szCs w:val="20"/>
        </w:rPr>
        <w:instrText>American Osteopathic Association (AOA)</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is accredited by the American Osteopathic Association to provide osteopathic continuing medical education for physicians.</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bCs/>
          <w:iCs/>
          <w:color w:val="000000"/>
          <w:sz w:val="20"/>
          <w:szCs w:val="20"/>
        </w:rPr>
        <w:instrText>AdventHealth Orlando</w:instrText>
      </w:r>
      <w:r w:rsidRPr="005F138D">
        <w:rPr>
          <w:rFonts w:eastAsia="Times New Roman" w:cstheme="minorHAnsi"/>
          <w:color w:val="000000"/>
          <w:sz w:val="20"/>
          <w:szCs w:val="20"/>
        </w:rPr>
        <w:instrText xml:space="preserve"> designates this program for a maximum of </w:instrText>
      </w:r>
      <w:r w:rsidRPr="005F138D">
        <w:rPr>
          <w:rFonts w:eastAsia="Times New Roman" w:cstheme="minorHAnsi"/>
          <w:color w:val="000000"/>
          <w:sz w:val="20"/>
          <w:szCs w:val="20"/>
        </w:rPr>
        <w:instrText xml:space="preserve"> AOA Category 1-B credits and will report CME and specialty credits commensurate with the extent of the physician's participation in this activity."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2" name="Picture 2"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A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autoSpaceDE w:val="0"/>
        <w:autoSpaceDN w:val="0"/>
        <w:adjustRightInd w:val="0"/>
        <w:spacing w:after="120" w:line="240" w:lineRule="auto"/>
        <w:ind w:left="90" w:hanging="90"/>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3" name="Picture 3"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AdventHealth Orlando, </w:instrText>
      </w:r>
      <w:r w:rsidRPr="005F138D">
        <w:rPr>
          <w:rFonts w:eastAsia="Times New Roman" w:cstheme="minorHAnsi"/>
          <w:b/>
          <w:bCs/>
          <w:color w:val="000000"/>
          <w:sz w:val="20"/>
          <w:szCs w:val="20"/>
        </w:rPr>
        <w:instrText>(BOC AP #</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B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autoSpaceDE w:val="0"/>
        <w:autoSpaceDN w:val="0"/>
        <w:adjustRightInd w:val="0"/>
        <w:spacing w:before="240" w:after="120" w:line="240" w:lineRule="auto"/>
        <w:ind w:left="90" w:hanging="90"/>
        <w:rPr>
          <w:rFonts w:eastAsia="Times New Roman" w:cstheme="minorHAnsi"/>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color w:val="000000"/>
          <w:sz w:val="20"/>
          <w:szCs w:val="20"/>
        </w:rPr>
      </w:pPr>
      <w:r w:rsidRPr="005F138D">
        <w:rPr>
          <w:rFonts w:eastAsia="Times New Roman" w:cstheme="minorHAnsi"/>
          <w:noProof/>
          <w:color w:val="000000"/>
          <w:sz w:val="20"/>
          <w:szCs w:val="20"/>
        </w:rPr>
        <w:drawing>
          <wp:anchor distT="0" distB="0" distL="114300" distR="114300" simplePos="0" relativeHeight="251661312"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4" name="Picture 4"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C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color w:val="000000"/>
          <w:sz w:val="20"/>
          <w:szCs w:val="20"/>
        </w:rPr>
        <w:fldChar w:fldCharType="begin"/>
      </w:r>
      <w:r w:rsidRPr="005F138D">
        <w:rPr>
          <w:rFonts w:eastAsia="Times New Roman" w:cstheme="minorHAnsi"/>
          <w:color w:val="000000"/>
          <w:sz w:val="20"/>
          <w:szCs w:val="20"/>
        </w:rPr>
        <w:instrText xml:space="preserve"> IF </w:instrText>
      </w:r>
      <w:r w:rsidRPr="005F138D">
        <w:rPr>
          <w:rFonts w:eastAsia="Times New Roman" w:cstheme="minorHAnsi"/>
          <w:color w:val="000000"/>
          <w:sz w:val="20"/>
          <w:szCs w:val="20"/>
        </w:rPr>
        <w:instrText xml:space="preserve"> &gt; 0 "</w:instrText>
      </w:r>
    </w:p>
    <w:p w:rsidR="00373A01" w:rsidRPr="005F138D" w:rsidP="00373A01">
      <w:pPr>
        <w:spacing w:before="240" w:after="120" w:line="240" w:lineRule="auto"/>
        <w:rPr>
          <w:rFonts w:eastAsia="Times New Roman" w:cstheme="minorHAnsi"/>
          <w:b/>
          <w:bCs/>
          <w:color w:val="000000"/>
          <w:sz w:val="20"/>
          <w:szCs w:val="20"/>
        </w:rPr>
      </w:pPr>
      <w:r w:rsidRPr="005F138D">
        <w:rPr>
          <w:rFonts w:eastAsia="Times New Roman" w:cstheme="minorHAnsi"/>
          <w:b/>
          <w:bCs/>
          <w:color w:val="000000"/>
          <w:sz w:val="20"/>
          <w:szCs w:val="20"/>
        </w:rPr>
        <w:instrText>Board of Certification for the Athletic Trainer</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color w:val="000000"/>
          <w:sz w:val="20"/>
          <w:szCs w:val="20"/>
        </w:rPr>
        <w:drawing>
          <wp:anchor distT="0" distB="0" distL="114300" distR="114300" simplePos="0" relativeHeight="251662336" behindDoc="0" locked="0" layoutInCell="1" allowOverlap="1">
            <wp:simplePos x="0" y="0"/>
            <wp:positionH relativeFrom="column">
              <wp:posOffset>0</wp:posOffset>
            </wp:positionH>
            <wp:positionV relativeFrom="paragraph">
              <wp:posOffset>2540</wp:posOffset>
            </wp:positionV>
            <wp:extent cx="365760" cy="369074"/>
            <wp:effectExtent l="0" t="0" r="0" b="0"/>
            <wp:wrapSquare wrapText="bothSides"/>
            <wp:docPr id="5" name="Picture 5" descr="A blue circl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circle with white text&#10;&#10;Description automatically generated with medium confidence"/>
                    <pic:cNvPicPr>
                      <a:picLocks noChangeAspect="1" noChangeArrowheads="1"/>
                    </pic:cNvPicPr>
                  </pic:nvPicPr>
                  <pic:blipFill>
                    <a:blip xmlns:r="http://schemas.openxmlformats.org/officeDocument/2006/relationships" r:embed="rId7" cstate="print">
                      <a:extLst>
                        <a:ext uri="{28A0092B-C50C-407E-A947-70E740481C1C}">
                          <a14:useLocalDpi xmlns:a14="http://schemas.microsoft.com/office/drawing/2010/main" val="0"/>
                        </a:ext>
                      </a:extLst>
                    </a:blip>
                    <a:srcRect/>
                    <a:stretch>
                      <a:fillRect/>
                    </a:stretch>
                  </pic:blipFill>
                  <pic:spPr bwMode="auto">
                    <a:xfrm>
                      <a:off x="0" y="0"/>
                      <a:ext cx="365760" cy="369074"/>
                    </a:xfrm>
                    <a:prstGeom prst="rect">
                      <a:avLst/>
                    </a:prstGeom>
                    <a:noFill/>
                  </pic:spPr>
                </pic:pic>
              </a:graphicData>
            </a:graphic>
          </wp:anchor>
        </w:drawing>
      </w:r>
      <w:r w:rsidRPr="005F138D">
        <w:rPr>
          <w:rFonts w:eastAsia="Times New Roman" w:cstheme="minorHAnsi"/>
          <w:color w:val="000000"/>
          <w:sz w:val="20"/>
          <w:szCs w:val="20"/>
        </w:rPr>
        <w:instrText xml:space="preserve"> AdventHealth Orlando, </w:instrText>
      </w:r>
      <w:r w:rsidRPr="005F138D">
        <w:rPr>
          <w:rFonts w:eastAsia="Times New Roman" w:cstheme="minorHAnsi"/>
          <w:b/>
          <w:bCs/>
          <w:color w:val="000000"/>
          <w:sz w:val="20"/>
          <w:szCs w:val="20"/>
        </w:rPr>
        <w:instrText>(BOC AP#</w:instrText>
      </w:r>
      <w:r w:rsidRPr="005F138D">
        <w:rPr>
          <w:rFonts w:eastAsia="Times New Roman" w:cstheme="minorHAnsi"/>
          <w:b/>
          <w:bCs/>
          <w:color w:val="000000"/>
          <w:sz w:val="20"/>
          <w:szCs w:val="20"/>
        </w:rPr>
        <w:instrText>)</w:instrText>
      </w:r>
      <w:r w:rsidRPr="005F138D">
        <w:rPr>
          <w:rFonts w:eastAsia="Times New Roman" w:cstheme="minorHAnsi"/>
          <w:color w:val="000000"/>
          <w:sz w:val="20"/>
          <w:szCs w:val="20"/>
        </w:rPr>
        <w:instrText xml:space="preserve">, is approved by the Board of Certification, Inc. to provide continuing education for Athletic Trainers. This program is eligible for a maximum of </w:instrText>
      </w:r>
      <w:r w:rsidRPr="005F138D">
        <w:rPr>
          <w:rFonts w:eastAsia="Times New Roman" w:cstheme="minorHAnsi"/>
          <w:color w:val="000000"/>
          <w:sz w:val="20"/>
          <w:szCs w:val="20"/>
        </w:rPr>
        <w:instrText xml:space="preserve"> Category D hours/CEUs. ATs should claim only those hours actually spent in the educational program." "" </w:instrText>
      </w:r>
      <w:r w:rsidRPr="005F138D">
        <w:rPr>
          <w:rFonts w:eastAsia="Times New Roman" w:cstheme="minorHAnsi"/>
          <w:color w:val="000000"/>
          <w:sz w:val="20"/>
          <w:szCs w:val="20"/>
        </w:rPr>
        <w:fldChar w:fldCharType="separate"/>
      </w:r>
      <w:r w:rsidRPr="005F138D">
        <w:rPr>
          <w:rFonts w:eastAsia="Times New Roman" w:cstheme="minorHAnsi"/>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0.00</w:instrText>
      </w:r>
      <w:r w:rsidRPr="005F138D">
        <w:rPr>
          <w:rFonts w:eastAsia="Times New Roman" w:cstheme="minorHAnsi"/>
          <w:bCs/>
          <w:iCs/>
          <w:color w:val="000000"/>
          <w:sz w:val="20"/>
          <w:szCs w:val="20"/>
        </w:rPr>
        <w:instrText xml:space="preserve"> &gt; 0 "</w:instrText>
      </w:r>
    </w:p>
    <w:p w:rsidR="00D52BE9" w:rsidRPr="005F138D" w:rsidP="00D52BE9">
      <w:pPr>
        <w:autoSpaceDE w:val="0"/>
        <w:autoSpaceDN w:val="0"/>
        <w:adjustRightInd w:val="0"/>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Nursing</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The Florida Board of Nursing accepts a CE activity that has been approved by an agency that regulates a healthcare profession or discipline in Florida or another jurisdiction.</w:instrText>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t xml:space="preserve"> </w: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Occupational Therapy Section, Florida Occupational Therapy, Physical Therapy, and Athletic Trainers Board</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Occupational Therapy Section of the Florida Occupational Therapy, Physical Therapy, and Athletic Trainers Board to provide </w:instrText>
      </w:r>
      <w:r w:rsidRPr="005F138D">
        <w:rPr>
          <w:rFonts w:eastAsia="Times New Roman" w:cstheme="minorHAnsi"/>
          <w:bCs/>
          <w:iCs/>
          <w:color w:val="000000"/>
          <w:sz w:val="20"/>
          <w:szCs w:val="20"/>
        </w:rPr>
        <w:instrText xml:space="preserve"> contact hours of occupational therapy continuing education."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Physical Therapy Association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color w:val="000000"/>
          <w:sz w:val="20"/>
          <w:szCs w:val="20"/>
        </w:rPr>
        <w:instrText>AdventHealth Orlando</w:instrText>
      </w:r>
      <w:r w:rsidRPr="005F138D">
        <w:rPr>
          <w:rFonts w:eastAsia="Times New Roman" w:cstheme="minorHAnsi"/>
          <w:bCs/>
          <w:iCs/>
          <w:color w:val="000000"/>
          <w:sz w:val="20"/>
          <w:szCs w:val="20"/>
        </w:rPr>
        <w:instrText xml:space="preserve"> is approved, approval number </w:instrText>
      </w:r>
      <w:r w:rsidRPr="005F138D">
        <w:rPr>
          <w:rFonts w:eastAsia="Times New Roman" w:cstheme="minorHAnsi"/>
          <w:bCs/>
          <w:iCs/>
          <w:color w:val="000000"/>
          <w:sz w:val="20"/>
          <w:szCs w:val="20"/>
        </w:rPr>
        <w:instrText xml:space="preserve">, by the Florida  Physical Therapy Association (OPTA) to provide </w:instrText>
      </w:r>
      <w:r w:rsidRPr="005F138D">
        <w:rPr>
          <w:rFonts w:eastAsia="Times New Roman" w:cstheme="minorHAnsi"/>
          <w:bCs/>
          <w:iCs/>
          <w:color w:val="000000"/>
          <w:sz w:val="20"/>
          <w:szCs w:val="20"/>
        </w:rPr>
        <w:instrText xml:space="preserve"> CE hours in Florida."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Florida Board of Speech-Language Pathology and Audiology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event has been approved by the Florida Board of Speech-Language Pathology and Audiology for </w:instrText>
      </w:r>
      <w:r w:rsidRPr="005F138D">
        <w:rPr>
          <w:rFonts w:eastAsia="Times New Roman" w:cstheme="minorHAnsi"/>
          <w:bCs/>
          <w:iCs/>
          <w:color w:val="000000"/>
          <w:sz w:val="20"/>
          <w:szCs w:val="20"/>
        </w:rPr>
        <w:instrText xml:space="preserve"> clock hours of continuing education in the category that is specific to the clinical practice of speech-language pathology."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Anesthesiology MOCA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before="120" w:after="360" w:line="240" w:lineRule="auto"/>
        <w:rPr>
          <w:rFonts w:eastAsia="Times New Roman" w:cstheme="minorHAnsi"/>
          <w:bCs/>
          <w:iCs/>
          <w:color w:val="000000"/>
          <w:sz w:val="20"/>
          <w:szCs w:val="20"/>
        </w:rPr>
      </w:pPr>
      <w:r w:rsidRPr="005F138D">
        <w:rPr>
          <w:rFonts w:eastAsia="Times New Roman" w:cstheme="minorHAnsi"/>
          <w:sz w:val="20"/>
          <w:szCs w:val="20"/>
        </w:rPr>
        <w:instrText>This activity contributes to the CME component of the American Board of Anesthesiology's redesigned Maintenance of Certification in Anesthesiology™ (MOCA®) program, known as MOCA 2.0</w:instrText>
      </w:r>
      <w:r w:rsidRPr="005F138D">
        <w:rPr>
          <w:rFonts w:eastAsia="Times New Roman" w:cstheme="minorHAnsi"/>
          <w:sz w:val="20"/>
          <w:szCs w:val="20"/>
          <w:vertAlign w:val="superscript"/>
        </w:rPr>
        <w:instrText>©</w:instrText>
      </w:r>
      <w:r w:rsidRPr="005F138D">
        <w:rPr>
          <w:rFonts w:eastAsia="Times New Roman" w:cstheme="minorHAnsi"/>
          <w:sz w:val="20"/>
          <w:szCs w:val="20"/>
        </w:rPr>
        <w:instrText xml:space="preserve">. Please consult the ABA website, </w:instrText>
      </w:r>
      <w:r>
        <w:fldChar w:fldCharType="begin"/>
      </w:r>
      <w:r>
        <w:instrText xml:space="preserve"> HYPERLINK "https://www.theaba.org/" </w:instrText>
      </w:r>
      <w:r>
        <w:fldChar w:fldCharType="separate"/>
      </w:r>
      <w:r w:rsidRPr="005F138D">
        <w:rPr>
          <w:rFonts w:eastAsia="Times New Roman" w:cstheme="minorHAnsi"/>
          <w:color w:val="0000FF"/>
          <w:sz w:val="20"/>
          <w:szCs w:val="20"/>
          <w:u w:val="single"/>
        </w:rPr>
        <w:instrText>www.theABA.org</w:instrText>
      </w:r>
      <w:r>
        <w:fldChar w:fldCharType="end"/>
      </w:r>
      <w:r w:rsidRPr="005F138D">
        <w:rPr>
          <w:rFonts w:eastAsia="Times New Roman" w:cstheme="minorHAnsi"/>
          <w:sz w:val="20"/>
          <w:szCs w:val="20"/>
        </w:rPr>
        <w:instrText xml:space="preserve">, for a list of all MOCA 2.0 requirements. </w:instrText>
      </w:r>
      <w:r w:rsidRPr="005F138D">
        <w:rPr>
          <w:rFonts w:eastAsia="Times New Roman" w:cstheme="minorHAnsi"/>
          <w:sz w:val="20"/>
          <w:szCs w:val="20"/>
        </w:rPr>
        <w:instrText xml:space="preserve"> points"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Anesthesiology MOCA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inline distT="0" distB="0" distL="0" distR="0">
            <wp:extent cx="2377440" cy="29224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8"/>
                    <a:stretch>
                      <a:fillRect/>
                    </a:stretch>
                  </pic:blipFill>
                  <pic:spPr>
                    <a:xfrm>
                      <a:off x="0" y="0"/>
                      <a:ext cx="2377440" cy="292243"/>
                    </a:xfrm>
                    <a:prstGeom prst="rect">
                      <a:avLst/>
                    </a:prstGeom>
                  </pic:spPr>
                </pic:pic>
              </a:graphicData>
            </a:graphic>
          </wp:inline>
        </w:drawing>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This activity offers up to </w:instrText>
      </w:r>
      <w:r w:rsidRPr="005F138D">
        <w:rPr>
          <w:rFonts w:eastAsia="Times New Roman" w:cstheme="minorHAnsi"/>
          <w:bCs/>
          <w:iCs/>
          <w:color w:val="000000"/>
          <w:sz w:val="20"/>
          <w:szCs w:val="20"/>
        </w:rPr>
        <w:instrText xml:space="preserve"> credits, which contributes to the pateint safety CME component of the American Board of Anesthesiology's redesigned Maintenance of Certification for Anesthesiology™ (MOCA®) program, known as MOCA 2.0®. Please consult the ABA website, www.theABA.org, for a list of all MOCA 2.0 requirements."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914400" cy="311899"/>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7620</wp:posOffset>
            </wp:positionV>
            <wp:extent cx="914400" cy="311899"/>
            <wp:effectExtent l="0" t="0" r="0" b="0"/>
            <wp:wrapSquare wrapText="bothSides"/>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899"/>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Internal Medicine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14300" distR="114300" simplePos="0" relativeHeight="251666432" behindDoc="0" locked="0" layoutInCell="1" allowOverlap="1">
            <wp:simplePos x="0" y="0"/>
            <wp:positionH relativeFrom="margin">
              <wp:align>left</wp:align>
            </wp:positionH>
            <wp:positionV relativeFrom="paragraph">
              <wp:posOffset>7620</wp:posOffset>
            </wp:positionV>
            <wp:extent cx="914400" cy="311575"/>
            <wp:effectExtent l="0" t="0" r="0" b="0"/>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xmlns:r="http://schemas.openxmlformats.org/officeDocument/2006/relationships" r:embed="rId9" cstate="print">
                      <a:extLst>
                        <a:ext uri="{28A0092B-C50C-407E-A947-70E740481C1C}">
                          <a14:useLocalDpi xmlns:a14="http://schemas.microsoft.com/office/drawing/2010/main" val="0"/>
                        </a:ext>
                      </a:extLst>
                    </a:blip>
                    <a:stretch>
                      <a:fillRect/>
                    </a:stretch>
                  </pic:blipFill>
                  <pic:spPr>
                    <a:xfrm>
                      <a:off x="0" y="0"/>
                      <a:ext cx="914400" cy="311575"/>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in the American Board of Internal Medicine's (ABIM) Maintenance of Certification (MOC) program. It is the CME activity provider's responsibility to submit participant completion information to ACCME for the purpose of granting ABIM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Lifelong Learning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instrText xml:space="preserve"> credit hours toward the Improvement in Medical Practice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Ophthalmology MOC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Patient Safety requirement for the American Board of Ophthalmology's Continuing Certification program. It is the CME activity provider's responsibility to submit participant completion information to ACCME for the purpose of granting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Ophthalmology MOC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earns </w:instrText>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MERFIELD ABOMOCP4HoursMax \# 0.00# </w:instrText>
      </w:r>
      <w:r>
        <w:fldChar w:fldCharType="separate"/>
      </w:r>
      <w:r w:rsidRPr="005F138D">
        <w:rPr>
          <w:rFonts w:eastAsia="Times New Roman" w:cstheme="minorHAnsi"/>
          <w:b/>
          <w:bCs/>
          <w:iCs/>
          <w:color w:val="000000"/>
          <w:sz w:val="20"/>
          <w:szCs w:val="20"/>
        </w:rPr>
        <w:instrText>Error! Bookmark not defined.</w:instrText>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instrText xml:space="preserve"> credit hours toward the Self-Assessment requirement for the American Board of Ophthalmology's Continuing Certification program. It is the CME activity provider's responsibility to submit participant completion information to ACCME for the purpose of granting credit."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the required annual part II self-assessment credit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instrText xml:space="preserve"> credits"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improvement in medical practice requirement in the American Board of Otolaryngology – Head and Neck Surgery’s Continuing Certification program (formerly known as MOC). It is the CME activity provider’s responsibility to submit participant completion information to ACCME for the purpose of recognizing participation."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Cs/>
          <w:iCs/>
          <w:color w:val="000000"/>
          <w:sz w:val="20"/>
          <w:szCs w:val="20"/>
        </w:rPr>
      </w:pPr>
      <w:r w:rsidRPr="005F138D">
        <w:rPr>
          <w:rFonts w:eastAsia="Times New Roman" w:cstheme="minorHAnsi"/>
          <w:b/>
          <w:iCs/>
          <w:color w:val="000000"/>
          <w:sz w:val="20"/>
          <w:szCs w:val="20"/>
        </w:rPr>
        <w:instrText>American Board of Otolaryngology – Head and Neck Surgery Continuing Certification Patient Safety</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w:instrText>
      </w:r>
      <w:r w:rsidRPr="005F138D">
        <w:rPr>
          <w:rFonts w:eastAsia="Times New Roman" w:cstheme="minorHAnsi"/>
          <w:bCs/>
          <w:iCs/>
          <w:color w:val="000000"/>
          <w:sz w:val="20"/>
          <w:szCs w:val="20"/>
        </w:rPr>
        <w:instrText xml:space="preserve"> credit towards the patient safety requirement in the American Board of Otolaryngology – Head and Neck Surgery’s Continuing Certification program (formerly known as MOC). It is the CME activity provider’s responsibility to submit participant completion information to ACCME for the purpose of recognizing participation." ""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Pediatrics MOC Part 2</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up to </w:instrText>
      </w:r>
      <w:r w:rsidRPr="005F138D">
        <w:rPr>
          <w:rFonts w:eastAsia="Times New Roman" w:cstheme="minorHAnsi"/>
          <w:bCs/>
          <w:iCs/>
          <w:color w:val="000000"/>
          <w:sz w:val="20"/>
          <w:szCs w:val="20"/>
        </w:rPr>
        <w:instrText xml:space="preserve"> MOC points in the American Board of Pediatrics’ (ABP) Maintenance of Certification (MOC) program. It is the CME activity provider’s responsibility to submit participant completion information to ACCME for the purpose of granting ABP MOC credit.</w:instrText>
      </w:r>
      <w:r w:rsidRPr="005F138D">
        <w:rPr>
          <w:rFonts w:eastAsia="Times New Roman" w:cstheme="minorHAnsi"/>
          <w:noProof/>
          <w:sz w:val="24"/>
          <w:szCs w:val="24"/>
        </w:rPr>
        <w:drawing>
          <wp:anchor distT="0" distB="0" distL="182880" distR="114300" simplePos="0" relativeHeight="251667456" behindDoc="0" locked="0" layoutInCell="1" allowOverlap="1">
            <wp:simplePos x="0" y="0"/>
            <wp:positionH relativeFrom="margin">
              <wp:align>left</wp:align>
            </wp:positionH>
            <wp:positionV relativeFrom="paragraph">
              <wp:posOffset>6985</wp:posOffset>
            </wp:positionV>
            <wp:extent cx="457200" cy="457200"/>
            <wp:effectExtent l="0" t="0" r="0" b="0"/>
            <wp:wrapSquare wrapText="bothSides"/>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xmlns:r="http://schemas.openxmlformats.org/officeDocument/2006/relationships" r:embed="rId10"/>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II</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Lifelong Learning component in the American Board of Pathology’s (ABPath) Continuing Certification program. It is the CME activity provider’s responsibility to submit participant completion information to ACCME for the purpose of granting ABPath MOC credit.</w:instrText>
      </w:r>
      <w:r w:rsidRPr="005F138D">
        <w:rPr>
          <w:rFonts w:eastAsia="Times New Roman" w:cstheme="minorHAnsi"/>
          <w:noProof/>
          <w:sz w:val="24"/>
          <w:szCs w:val="24"/>
        </w:rPr>
        <w:drawing>
          <wp:anchor distT="0" distB="0" distL="182880" distR="114300" simplePos="0" relativeHeight="251668480" behindDoc="0" locked="0" layoutInCell="1" allowOverlap="1">
            <wp:simplePos x="0" y="0"/>
            <wp:positionH relativeFrom="margin">
              <wp:align>left</wp:align>
            </wp:positionH>
            <wp:positionV relativeFrom="paragraph">
              <wp:posOffset>7620</wp:posOffset>
            </wp:positionV>
            <wp:extent cx="731520" cy="499000"/>
            <wp:effectExtent l="0" t="0" r="0" b="0"/>
            <wp:wrapSquare wrapText="bothSides"/>
            <wp:docPr id="14" name="Picture 1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9000"/>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Pathology Continuing Certification Part IV</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69504" behindDoc="0" locked="0" layoutInCell="1" allowOverlap="1">
            <wp:simplePos x="0" y="0"/>
            <wp:positionH relativeFrom="margin">
              <wp:posOffset>17145</wp:posOffset>
            </wp:positionH>
            <wp:positionV relativeFrom="paragraph">
              <wp:posOffset>24130</wp:posOffset>
            </wp:positionV>
            <wp:extent cx="731520" cy="498475"/>
            <wp:effectExtent l="0" t="0" r="0" b="0"/>
            <wp:wrapSquare wrapText="bothSides"/>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rotWithShape="1">
                    <a:blip xmlns:r="http://schemas.openxmlformats.org/officeDocument/2006/relationships" r:embed="rId11"/>
                    <a:srcRect r="8514" b="29283"/>
                    <a:stretch/>
                  </pic:blipFill>
                  <pic:spPr bwMode="auto">
                    <a:xfrm>
                      <a:off x="0" y="0"/>
                      <a:ext cx="731520" cy="498475"/>
                    </a:xfrm>
                    <a:prstGeom prst="rect">
                      <a:avLst/>
                    </a:prstGeom>
                    <a:ln>
                      <a:noFill/>
                    </a:ln>
                    <a:extLst>
                      <a:ext uri="{53640926-AAD7-44D8-BBD7-CCE9431645EC}">
                        <a14:shadowObscured xmlns:a14="http://schemas.microsoft.com/office/drawing/2010/main"/>
                      </a:ext>
                    </a:extLst>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participant to earn up to </w:instrText>
      </w:r>
      <w:r w:rsidRPr="005F138D">
        <w:rPr>
          <w:rFonts w:eastAsia="Times New Roman" w:cstheme="minorHAnsi"/>
          <w:bCs/>
          <w:iCs/>
          <w:color w:val="000000"/>
          <w:sz w:val="20"/>
          <w:szCs w:val="20"/>
        </w:rPr>
        <w:instrText xml:space="preserve"> MOC points towards the Improvement in Medical Practice component in the American Board of Pathology’s (ABPath) Continuing Certification program. It is the CME activity provider’s responsibility to submit participant completion information to ACCME for the purpose of granting ABPath MOC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0528" behindDoc="0" locked="0" layoutInCell="1" allowOverlap="1">
            <wp:simplePos x="0" y="0"/>
            <wp:positionH relativeFrom="margin">
              <wp:posOffset>0</wp:posOffset>
            </wp:positionH>
            <wp:positionV relativeFrom="paragraph">
              <wp:posOffset>32014</wp:posOffset>
            </wp:positionV>
            <wp:extent cx="457200" cy="457200"/>
            <wp:effectExtent l="0" t="0" r="0" b="0"/>
            <wp:wrapSquare wrapText="bothSides"/>
            <wp:docPr id="17" name="Picture 17"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CME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r w:rsidRPr="005F138D">
        <w:rPr>
          <w:rFonts w:eastAsia="Times New Roman" w:cstheme="minorHAnsi"/>
          <w:bCs/>
          <w:iCs/>
          <w:color w:val="000000"/>
          <w:sz w:val="20"/>
          <w:szCs w:val="20"/>
        </w:rPr>
        <w:fldChar w:fldCharType="begin"/>
      </w:r>
      <w:r w:rsidRPr="005F138D">
        <w:rPr>
          <w:rFonts w:eastAsia="Times New Roman" w:cstheme="minorHAnsi"/>
          <w:bCs/>
          <w:iCs/>
          <w:color w:val="000000"/>
          <w:sz w:val="20"/>
          <w:szCs w:val="20"/>
        </w:rPr>
        <w:instrText xml:space="preserve"> IF </w:instrText>
      </w:r>
      <w:r w:rsidRPr="005F138D">
        <w:rPr>
          <w:rFonts w:eastAsia="Times New Roman" w:cstheme="minorHAnsi"/>
          <w:bCs/>
          <w:iCs/>
          <w:color w:val="000000"/>
          <w:sz w:val="20"/>
          <w:szCs w:val="20"/>
        </w:rPr>
        <w:instrText xml:space="preserve"> &gt; 0 "</w:instrText>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instrText>American Board of Surgery Continuing Certification SAM</w:instrTex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noProof/>
          <w:sz w:val="24"/>
          <w:szCs w:val="24"/>
        </w:rPr>
        <w:drawing>
          <wp:anchor distT="0" distB="0" distL="182880" distR="114300" simplePos="0" relativeHeight="251671552" behindDoc="0" locked="0" layoutInCell="1" allowOverlap="1">
            <wp:simplePos x="0" y="0"/>
            <wp:positionH relativeFrom="margin">
              <wp:posOffset>0</wp:posOffset>
            </wp:positionH>
            <wp:positionV relativeFrom="paragraph">
              <wp:posOffset>24501</wp:posOffset>
            </wp:positionV>
            <wp:extent cx="457200" cy="457200"/>
            <wp:effectExtent l="0" t="0" r="0" b="0"/>
            <wp:wrapSquare wrapText="bothSides"/>
            <wp:docPr id="18" name="Picture 18" descr="A picture containing black, dark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black, darkness&#10;&#10;Description automatically generated"/>
                    <pic:cNvPicPr/>
                  </pic:nvPicPr>
                  <pic:blipFill>
                    <a:blip xmlns:r="http://schemas.openxmlformats.org/officeDocument/2006/relationships" r:embed="rId12"/>
                    <a:stretch>
                      <a:fillRect/>
                    </a:stretch>
                  </pic:blipFill>
                  <pic:spPr>
                    <a:xfrm>
                      <a:off x="0" y="0"/>
                      <a:ext cx="457200" cy="457200"/>
                    </a:xfrm>
                    <a:prstGeom prst="rect">
                      <a:avLst/>
                    </a:prstGeom>
                  </pic:spPr>
                </pic:pic>
              </a:graphicData>
            </a:graphic>
          </wp:anchor>
        </w:drawing>
      </w:r>
      <w:r w:rsidRPr="005F138D">
        <w:rPr>
          <w:rFonts w:eastAsia="Times New Roman" w:cstheme="minorHAnsi"/>
          <w:bCs/>
          <w:iCs/>
          <w:color w:val="000000"/>
          <w:sz w:val="20"/>
          <w:szCs w:val="20"/>
        </w:rPr>
        <w:instrText xml:space="preserve">Successful completion of this CME activity, which includes participation in the evaluation component, enables the learner to earn </w:instrText>
      </w:r>
      <w:r w:rsidRPr="005F138D">
        <w:rPr>
          <w:rFonts w:eastAsia="Times New Roman" w:cstheme="minorHAnsi"/>
          <w:bCs/>
          <w:iCs/>
          <w:color w:val="000000"/>
          <w:sz w:val="20"/>
          <w:szCs w:val="20"/>
        </w:rPr>
        <w:instrText xml:space="preserve"> credit towards the Self-Assessment requirement of the American Board of Surgery’s Continuous Certification program. It is the CME activity provider’s responsibility to submit learner completion information to ACCME for the purpose of granting ABS credit." ""</w:instrText>
      </w:r>
      <w:r w:rsidRPr="005F138D">
        <w:rPr>
          <w:rFonts w:eastAsia="Times New Roman" w:cstheme="minorHAnsi"/>
          <w:bCs/>
          <w:iCs/>
          <w:color w:val="000000"/>
          <w:sz w:val="20"/>
          <w:szCs w:val="20"/>
        </w:rPr>
        <w:fldChar w:fldCharType="separate"/>
      </w:r>
      <w:r w:rsidRPr="005F138D">
        <w:rPr>
          <w:rFonts w:eastAsia="Times New Roman" w:cstheme="minorHAnsi"/>
          <w:bCs/>
          <w:iCs/>
          <w:color w:val="000000"/>
          <w:sz w:val="20"/>
          <w:szCs w:val="20"/>
        </w:rPr>
        <w:fldChar w:fldCharType="end"/>
      </w:r>
    </w:p>
    <w:p w:rsidR="00373A01" w:rsidRPr="005F138D" w:rsidP="00373A01">
      <w:pPr>
        <w:spacing w:before="240" w:after="120" w:line="240" w:lineRule="auto"/>
        <w:rPr>
          <w:rFonts w:eastAsia="Times New Roman" w:cstheme="minorHAnsi"/>
          <w:b/>
          <w:iCs/>
          <w:color w:val="000000"/>
          <w:sz w:val="20"/>
          <w:szCs w:val="20"/>
        </w:rPr>
      </w:pPr>
      <w:r w:rsidRPr="005F138D">
        <w:rPr>
          <w:rFonts w:eastAsia="Times New Roman" w:cstheme="minorHAnsi"/>
          <w:b/>
          <w:iCs/>
          <w:color w:val="000000"/>
          <w:sz w:val="20"/>
          <w:szCs w:val="20"/>
        </w:rPr>
        <w:t>Other Healthcare Professionals</w:t>
      </w:r>
    </w:p>
    <w:p w:rsidR="00373A01" w:rsidRPr="005F138D" w:rsidP="00373A01">
      <w:pPr>
        <w:spacing w:after="120" w:line="240" w:lineRule="auto"/>
        <w:rPr>
          <w:rFonts w:eastAsia="Times New Roman" w:cstheme="minorHAnsi"/>
          <w:bCs/>
          <w:iCs/>
          <w:color w:val="000000"/>
          <w:sz w:val="20"/>
          <w:szCs w:val="20"/>
        </w:rPr>
      </w:pPr>
      <w:r w:rsidRPr="005F138D">
        <w:rPr>
          <w:rFonts w:eastAsia="Times New Roman" w:cstheme="minorHAnsi"/>
          <w:bCs/>
          <w:iCs/>
          <w:color w:val="000000"/>
          <w:sz w:val="20"/>
          <w:szCs w:val="20"/>
        </w:rPr>
        <w:t>Other healthcare professionals who participate in this activity may submit their statement of participation to their appropriate accrediting organizations or state boards for consideration of credit. Participants are responsible for determining whether this activity meets the requirements for acceptable continuing education.</w:t>
      </w:r>
    </w:p>
    <w:p w:rsidR="00373A01" w:rsidRPr="005F138D" w:rsidP="00373A01">
      <w:pPr>
        <w:spacing w:before="240" w:after="120" w:line="240" w:lineRule="auto"/>
        <w:rPr>
          <w:rFonts w:eastAsia="Times New Roman" w:cstheme="minorHAnsi"/>
          <w:b/>
          <w:iCs/>
          <w:color w:val="0073AE"/>
        </w:rPr>
      </w:pPr>
      <w:r w:rsidRPr="005F138D">
        <w:rPr>
          <w:rFonts w:eastAsia="Times New Roman" w:cstheme="minorHAnsi"/>
          <w:b/>
          <w:iCs/>
          <w:color w:val="0073AE"/>
        </w:rPr>
        <w:t>Disclosures:</w:t>
      </w:r>
    </w:p>
    <w:p w:rsidR="00373A01" w:rsidRPr="005F138D" w:rsidP="00373A01">
      <w:pPr>
        <w:spacing w:after="0" w:line="240" w:lineRule="auto"/>
        <w:rPr>
          <w:rFonts w:eastAsia="Times New Roman" w:cstheme="minorHAnsi"/>
          <w:sz w:val="20"/>
          <w:szCs w:val="20"/>
        </w:rPr>
      </w:pPr>
      <w:r w:rsidRPr="005F138D">
        <w:rPr>
          <w:rFonts w:eastAsia="Times New Roman" w:cstheme="minorHAnsi"/>
          <w:sz w:val="20"/>
          <w:szCs w:val="20"/>
        </w:rPr>
        <w:t>AdventHealth Orlando CME adheres to the ACCME&amp;rsquo;s Standards for Integrity and Independence in Accredited Continuing Education. Any individuals in a position to control the content of a CE activity, including faculty, planners, reviewers or others are required to disclose all relevant financial relationships with ineligible entities (commercial interests). All relevant conflicts of interest have been mitigated prior to the commencement of the activity.</w:t>
      </w:r>
    </w:p>
    <w:p w:rsidR="00373A01" w:rsidRPr="005F138D" w:rsidP="00373A01">
      <w:pPr>
        <w:spacing w:after="0" w:line="240" w:lineRule="auto"/>
        <w:rPr>
          <w:rFonts w:eastAsia="Times New Roman" w:cstheme="minorHAnsi"/>
          <w:iCs/>
          <w:sz w:val="20"/>
          <w:szCs w:val="20"/>
        </w:rPr>
      </w:pPr>
    </w:p>
    <w:p w:rsidR="00373A01" w:rsidRPr="005F138D" w:rsidP="00373A01">
      <w:pPr>
        <w:spacing w:after="120" w:line="240" w:lineRule="auto"/>
        <w:rPr>
          <w:rFonts w:eastAsia="Times New Roman" w:cstheme="minorHAnsi"/>
          <w:iCs/>
          <w:sz w:val="20"/>
          <w:szCs w:val="20"/>
        </w:rPr>
      </w:pPr>
      <w:r w:rsidRPr="005F138D">
        <w:rPr>
          <w:rFonts w:eastAsia="Times New Roman" w:cstheme="minorHAnsi"/>
          <w:iCs/>
          <w:sz w:val="20"/>
          <w:szCs w:val="20"/>
        </w:rPr>
        <w:t>The planners and faculty of this series have disclosed the following financial relationship(s) with ineligible companies/commercial interests:</w:t>
      </w: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781"/>
        <w:gridCol w:w="2781"/>
        <w:gridCol w:w="3708"/>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Cristy C. Castillo,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Activity Coordinator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Anwar Ahmed, MD, FAAN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Course Director, 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- 01/25/2025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Gayle A. Shepherd, BSN</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Nurse Planner</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- 01/14/2025</w:t>
            </w:r>
          </w:p>
        </w:tc>
      </w:tr>
      <w:tr>
        <w:tblPrEx>
          <w:tblW w:w="5000" w:type="pct"/>
          <w:jc w:val="left"/>
          <w:tblCellSpacing w:w="15" w:type="dxa"/>
          <w:tblInd w:w="0" w:type="dxa"/>
          <w:tblCellMar>
            <w:top w:w="15" w:type="dxa"/>
            <w:left w:w="15" w:type="dxa"/>
            <w:bottom w:w="15" w:type="dxa"/>
            <w:right w:w="15" w:type="dxa"/>
          </w:tblCellMar>
        </w:tblPrEx>
        <w:trPr>
          <w:tblCellSpacing w:w="15" w:type="dxa"/>
          <w:jc w:val="left"/>
        </w:trPr>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Rana Abusoufeh, MD</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Faculty</w:t>
            </w:r>
          </w:p>
        </w:tc>
        <w:tc>
          <w:tcPr>
            <w:tcBorders>
              <w:top w:val="outset" w:sz="6" w:space="0" w:color="auto"/>
              <w:left w:val="outset" w:sz="6" w:space="0" w:color="auto"/>
              <w:bottom w:val="outset" w:sz="6" w:space="0" w:color="auto"/>
              <w:right w:val="outset" w:sz="6" w:space="0" w:color="auto"/>
            </w:tcBorders>
            <w:vAlign w:val="center"/>
          </w:tcPr>
          <w:p>
            <w:pPr>
              <w:bidi w:val="0"/>
              <w:spacing w:after="0" w:afterAutospacing="0"/>
              <w:jc w:val="left"/>
              <w:rPr>
                <w:rtl w:val="0"/>
              </w:rPr>
            </w:pPr>
            <w:r>
              <w:rPr>
                <w:rtl w:val="0"/>
              </w:rPr>
              <w:t>Nothing to disclose - 04/24/2025</w:t>
            </w:r>
          </w:p>
        </w:tc>
      </w:tr>
    </w:tbl>
    <w:p w:rsidR="00373A01" w:rsidRPr="005F138D">
      <w:pPr>
        <w:bidi w:val="0"/>
        <w:spacing w:after="280" w:afterAutospacing="1"/>
        <w:rPr>
          <w:rFonts w:eastAsia="Times New Roman" w:cstheme="minorHAnsi"/>
          <w:iCs/>
          <w:sz w:val="20"/>
          <w:szCs w:val="20"/>
        </w:rPr>
      </w:pPr>
    </w:p>
    <w:p w:rsidR="00F54A16" w:rsidRPr="005F138D">
      <w:pPr>
        <w:rPr>
          <w:rFonts w:cstheme="minorHAnsi"/>
        </w:rPr>
      </w:pPr>
    </w:p>
    <w:sectPr w:rsidSect="0064282E">
      <w:headerReference w:type="default" r:id="rId13"/>
      <w:footerReference w:type="default" r:id="rId14"/>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RPr="00D42503" w:rsidP="00D42503">
    <w:pPr>
      <w:rPr>
        <w:rFonts w:ascii="Calibri" w:hAnsi="Calibri" w:cs="Calibri"/>
        <w:color w:val="000000"/>
        <w:sz w:val="12"/>
      </w:rPr>
    </w:pPr>
    <w:r>
      <w:rPr>
        <w:rFonts w:ascii="Calibri" w:hAnsi="Calibri" w:cs="Calibri"/>
        <w:color w:val="000000"/>
        <w:sz w:val="12"/>
      </w:rPr>
      <w:t>AdventHealth</w:t>
    </w:r>
    <w:r>
      <w:rPr>
        <w:rFonts w:ascii="Calibri" w:hAnsi="Calibri" w:cs="Calibri"/>
        <w:color w:val="000000"/>
        <w:sz w:val="12"/>
      </w:rPr>
      <w:t xml:space="preserve"> Orlando</w:t>
    </w:r>
    <w:r w:rsidRPr="00A31FB2">
      <w:rPr>
        <w:rFonts w:ascii="Calibri" w:hAnsi="Calibri" w:cs="Calibri"/>
        <w:color w:val="000000"/>
        <w:sz w:val="12"/>
      </w:rPr>
      <w:t>. 202</w:t>
    </w:r>
    <w:r>
      <w:rPr>
        <w:rFonts w:ascii="Calibri" w:hAnsi="Calibri" w:cs="Calibri"/>
        <w:color w:val="000000"/>
        <w:sz w:val="12"/>
      </w:rPr>
      <w:t>3</w:t>
    </w:r>
    <w:r w:rsidRPr="00A31FB2">
      <w:rPr>
        <w:rFonts w:ascii="Calibri" w:hAnsi="Calibri" w:cs="Calibri"/>
        <w:color w:val="000000"/>
        <w:sz w:val="12"/>
      </w:rPr>
      <w:t xml:space="preserve">. All rights reserved. </w:t>
    </w:r>
    <w:r>
      <w:rPr>
        <w:rFonts w:ascii="Calibri" w:hAnsi="Calibri" w:cs="Calibri"/>
        <w:color w:val="000000"/>
        <w:sz w:val="12"/>
      </w:rPr>
      <w:t>06/272023</w:t>
    </w:r>
    <w:r w:rsidR="00373A01">
      <w:rPr>
        <w:noProof/>
      </w:rPr>
      <w:drawing>
        <wp:anchor distT="0" distB="0" distL="114300" distR="114300" simplePos="0" relativeHeight="251658240" behindDoc="0" locked="0" layoutInCell="1" allowOverlap="1">
          <wp:simplePos x="0" y="0"/>
          <wp:positionH relativeFrom="column">
            <wp:posOffset>5331853</wp:posOffset>
          </wp:positionH>
          <wp:positionV relativeFrom="line">
            <wp:align>center</wp:align>
          </wp:positionV>
          <wp:extent cx="1069848" cy="411480"/>
          <wp:effectExtent l="0" t="0" r="0" b="7620"/>
          <wp:wrapThrough wrapText="bothSides">
            <wp:wrapPolygon>
              <wp:start x="0" y="0"/>
              <wp:lineTo x="0" y="21000"/>
              <wp:lineTo x="21164" y="21000"/>
              <wp:lineTo x="21164" y="0"/>
              <wp:lineTo x="0" y="0"/>
            </wp:wrapPolygon>
          </wp:wrapThrough>
          <wp:docPr id="28" name="Picture 28"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font, logo, graphics&#10;&#10;Description automatically generated"/>
                  <pic:cNvPicPr/>
                </pic:nvPicPr>
                <pic:blipFill>
                  <a:blip xmlns:r="http://schemas.openxmlformats.org/officeDocument/2006/relationships" r:embed="rId1">
                    <a:extLst>
                      <a:ext uri="{28A0092B-C50C-407E-A947-70E740481C1C}">
                        <a14:useLocalDpi xmlns:a14="http://schemas.microsoft.com/office/drawing/2010/main" val="0"/>
                      </a:ext>
                    </a:extLst>
                  </a:blip>
                  <a:stretch>
                    <a:fillRect/>
                  </a:stretch>
                </pic:blipFill>
                <pic:spPr>
                  <a:xfrm>
                    <a:off x="0" y="0"/>
                    <a:ext cx="1069848" cy="411480"/>
                  </a:xfrm>
                  <a:prstGeom prst="rect">
                    <a:avLst/>
                  </a:prstGeom>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E3188" w:rsidP="00612DD0">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-1295400</wp:posOffset>
              </wp:positionH>
              <wp:positionV relativeFrom="paragraph">
                <wp:posOffset>-447675</wp:posOffset>
              </wp:positionV>
              <wp:extent cx="4610100" cy="933450"/>
              <wp:effectExtent l="0" t="0" r="57150" b="38100"/>
              <wp:wrapNone/>
              <wp:docPr id="19" name="Right Triangle 10"/>
              <wp:cNvGraphicFramePr/>
              <a:graphic xmlns:a="http://schemas.openxmlformats.org/drawingml/2006/main">
                <a:graphicData uri="http://schemas.microsoft.com/office/word/2010/wordprocessingShape">
                  <wps:wsp xmlns:wps="http://schemas.microsoft.com/office/word/2010/wordprocessingShape">
                    <wps:cNvSpPr/>
                    <wps:spPr>
                      <a:xfrm flipV="1">
                        <a:off x="0" y="0"/>
                        <a:ext cx="4610100" cy="933450"/>
                      </a:xfrm>
                      <a:prstGeom prst="rtTriangle">
                        <a:avLst/>
                      </a:prstGeom>
                      <a:solidFill>
                        <a:srgbClr val="81C342"/>
                      </a:solidFill>
                      <a:ln>
                        <a:solidFill>
                          <a:srgbClr val="81C34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10" o:spid="_x0000_s2049" type="#_x0000_t6" style="flip:y;height:73.5pt;margin-left:-102pt;margin-top:-35.25pt;mso-wrap-distance-bottom:0;mso-wrap-distance-left:9pt;mso-wrap-distance-right:9pt;mso-wrap-distance-top:0;mso-wrap-style:square;position:absolute;v-text-anchor:middle;visibility:visible;width:363pt;z-index:251660288" fillcolor="#81c342" strokecolor="#81c342"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-1114425</wp:posOffset>
              </wp:positionH>
              <wp:positionV relativeFrom="paragraph">
                <wp:posOffset>-447675</wp:posOffset>
              </wp:positionV>
              <wp:extent cx="7953375" cy="933450"/>
              <wp:effectExtent l="38100" t="0" r="28575" b="38100"/>
              <wp:wrapNone/>
              <wp:docPr id="20" name="Right Triangle 11"/>
              <wp:cNvGraphicFramePr/>
              <a:graphic xmlns:a="http://schemas.openxmlformats.org/drawingml/2006/main">
                <a:graphicData uri="http://schemas.microsoft.com/office/word/2010/wordprocessingShape">
                  <wps:wsp xmlns:wps="http://schemas.microsoft.com/office/word/2010/wordprocessingShape">
                    <wps:cNvSpPr/>
                    <wps:spPr>
                      <a:xfrm flipH="1" flipV="1">
                        <a:off x="0" y="0"/>
                        <a:ext cx="7953375" cy="933450"/>
                      </a:xfrm>
                      <a:prstGeom prst="rtTriangle">
                        <a:avLst/>
                      </a:prstGeom>
                      <a:solidFill>
                        <a:srgbClr val="006298"/>
                      </a:solidFill>
                      <a:ln>
                        <a:solidFill>
                          <a:srgbClr val="0062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Triangle 11" o:spid="_x0000_s2050" type="#_x0000_t6" style="flip:x y;height:73.5pt;margin-left:-87.75pt;margin-top:-35.25pt;mso-wrap-distance-bottom:0;mso-wrap-distance-left:9pt;mso-wrap-distance-right:9pt;mso-wrap-distance-top:0;mso-wrap-style:square;position:absolute;v-text-anchor:middle;visibility:visible;width:626.25pt;z-index:251662336" fillcolor="#006298" strokecolor="#0062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82109C0"/>
    <w:multiLevelType w:val="hybridMultilevel"/>
    <w:tmpl w:val="76B0E18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373A01"/>
    <w:rPr>
      <w:rFonts w:ascii="Times New Roman" w:eastAsia="Times New Roman" w:hAnsi="Times New Roman" w:cs="Times New Roman"/>
      <w:sz w:val="24"/>
      <w:szCs w:val="24"/>
    </w:rPr>
  </w:style>
  <w:style w:type="paragraph" w:styleId="Footer">
    <w:name w:val="footer"/>
    <w:basedOn w:val="Normal"/>
    <w:link w:val="FooterChar"/>
    <w:rsid w:val="00373A01"/>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373A01"/>
    <w:rPr>
      <w:rFonts w:ascii="Times New Roman" w:eastAsia="Times New Roman" w:hAnsi="Times New Roman" w:cs="Times New Roman"/>
      <w:sz w:val="24"/>
      <w:szCs w:val="24"/>
    </w:rPr>
  </w:style>
  <w:style w:type="table" w:styleId="TableGrid">
    <w:name w:val="Table Grid"/>
    <w:basedOn w:val="TableNormal"/>
    <w:rsid w:val="00C23C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3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jpeg" /></Relationships>
</file>

<file path=word/_rels/footer1.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7E13F-EA20-6A45-9AE2-BE7388636D61}">
  <ds:schemaRefs>
    <ds:schemaRef ds:uri="http://schemas.openxmlformats.org/officeDocument/2006/bibliography"/>
  </ds:schemaRefs>
</ds:datastoreItem>
</file>

<file path=docMetadata/LabelInfo.xml><?xml version="1.0" encoding="utf-8"?>
<clbl:labelList xmlns:clbl="http://schemas.microsoft.com/office/2020/mipLabelMetadata">
  <clbl:label id="{be1b4fd9-5fce-4f73-b3dd-3005f9e18ec7}" enabled="0" method="" siteId="{be1b4fd9-5fce-4f73-b3dd-3005f9e18ec7}" removed="1"/>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2219</Words>
  <Characters>15980</Characters>
  <Application>Microsoft Office Word</Application>
  <DocSecurity>0</DocSecurity>
  <Lines>409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Provenza, Virginia</dc:creator>
  <cp:lastModifiedBy>Munk, Kory</cp:lastModifiedBy>
  <cp:revision>30</cp:revision>
  <dcterms:created xsi:type="dcterms:W3CDTF">2024-10-15T18:03:00Z</dcterms:created>
  <dcterms:modified xsi:type="dcterms:W3CDTF">2024-10-17T15:48:00Z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a9d3d8475ee131c641ef2594e5863ee0097e24b5508558100750eba4f7d2c98b</vt:lpwstr>
  </property>
</Properties>
</file>