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884D3A" w:rsidRPr="005F138D" w:rsidP="007C116A">
      <w:pPr>
        <w:spacing w:before="240" w:after="240" w:line="240" w:lineRule="auto"/>
        <w:jc w:val="center"/>
        <w:rPr>
          <w:rFonts w:eastAsia="Times New Roman" w:cstheme="minorHAnsi"/>
          <w:b/>
          <w:iCs/>
          <w:color w:val="0073AE"/>
          <w:sz w:val="32"/>
          <w:szCs w:val="32"/>
        </w:rPr>
      </w:pPr>
      <w:r w:rsidRPr="005F138D">
        <w:rPr>
          <w:rFonts w:eastAsia="Times New Roman" w:cstheme="minorHAnsi"/>
          <w:b/>
          <w:iCs/>
          <w:color w:val="0073AE"/>
          <w:sz w:val="32"/>
          <w:szCs w:val="32"/>
        </w:rPr>
        <w:t>Osteoporosis</w:t>
      </w:r>
    </w:p>
    <w:tbl>
      <w:tblPr>
        <w:tblStyle w:val="TableGrid"/>
        <w:tblW w:w="0" w:type="auto"/>
        <w:tblBorders>
          <w:top w:val="nil"/>
          <w:left w:val="nil"/>
          <w:bottom w:val="nil"/>
          <w:right w:val="nil"/>
          <w:insideH w:val="nil"/>
          <w:insideV w:val="nil"/>
        </w:tblBorders>
        <w:tblLayout w:type="fixed"/>
        <w:tblLook w:val="04A0"/>
      </w:tblPr>
      <w:tblGrid>
        <w:gridCol w:w="1435"/>
        <w:gridCol w:w="4145"/>
        <w:gridCol w:w="1437"/>
        <w:gridCol w:w="2338"/>
      </w:tblGrid>
      <w:tr w:rsidTr="00B626F9">
        <w:tblPrEx>
          <w:tblW w:w="0" w:type="auto"/>
          <w:tblBorders>
            <w:top w:val="nil"/>
            <w:left w:val="nil"/>
            <w:bottom w:val="nil"/>
            <w:right w:val="nil"/>
            <w:insideH w:val="nil"/>
            <w:insideV w:val="nil"/>
          </w:tblBorders>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Date/Time:</w:t>
            </w:r>
          </w:p>
        </w:tc>
        <w:tc>
          <w:tcPr>
            <w:tcW w:w="4145" w:type="dxa"/>
          </w:tcPr>
          <w:p w:rsidR="00373A01" w:rsidRPr="005F138D" w:rsidP="00373A01">
            <w:pPr>
              <w:spacing w:before="60" w:after="60"/>
              <w:rPr>
                <w:rFonts w:cstheme="minorHAnsi"/>
                <w:b/>
                <w:iCs/>
                <w:color w:val="0073AE"/>
              </w:rPr>
            </w:pPr>
            <w:r w:rsidRPr="005F138D">
              <w:rPr>
                <w:rFonts w:cstheme="minorHAnsi"/>
                <w:iCs/>
                <w:noProof/>
              </w:rPr>
              <w:t>9/27/2024 12:00:00 PM</w:t>
            </w:r>
          </w:p>
        </w:tc>
        <w:tc>
          <w:tcPr>
            <w:tcW w:w="1437" w:type="dxa"/>
          </w:tcPr>
          <w:p w:rsidR="00373A01" w:rsidRPr="005F138D" w:rsidP="00373A01">
            <w:pPr>
              <w:spacing w:before="60" w:after="60"/>
              <w:rPr>
                <w:rFonts w:cstheme="minorHAnsi"/>
                <w:b/>
                <w:iCs/>
                <w:color w:val="0073AE"/>
              </w:rPr>
            </w:pPr>
            <w:r w:rsidRPr="005F138D">
              <w:rPr>
                <w:rFonts w:cstheme="minorHAnsi"/>
                <w:b/>
                <w:iCs/>
                <w:color w:val="0073AE"/>
              </w:rPr>
              <w:t>Activity ID:</w:t>
            </w:r>
          </w:p>
        </w:tc>
        <w:tc>
          <w:tcPr>
            <w:tcW w:w="2338" w:type="dxa"/>
          </w:tcPr>
          <w:p w:rsidR="00373A01" w:rsidRPr="005F138D" w:rsidP="00373A01">
            <w:pPr>
              <w:spacing w:before="60" w:after="60"/>
              <w:rPr>
                <w:rFonts w:cstheme="minorHAnsi"/>
                <w:b/>
                <w:iCs/>
                <w:color w:val="0073AE"/>
              </w:rPr>
            </w:pPr>
            <w:r w:rsidRPr="005F138D">
              <w:rPr>
                <w:rFonts w:cstheme="minorHAnsi"/>
                <w:b/>
                <w:iCs/>
                <w:color w:val="FF0000"/>
              </w:rPr>
              <w:t>19865</w:t>
            </w:r>
          </w:p>
        </w:tc>
      </w:tr>
      <w:tr w:rsidTr="00B626F9">
        <w:tblPrEx>
          <w:tblW w:w="0" w:type="auto"/>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Location:</w:t>
            </w:r>
          </w:p>
        </w:tc>
        <w:tc>
          <w:tcPr>
            <w:tcW w:w="7920" w:type="dxa"/>
            <w:gridSpan w:val="3"/>
          </w:tcPr>
          <w:p w:rsidR="00CF4608" w:rsidRPr="005F138D" w:rsidP="00373A01">
            <w:pPr>
              <w:spacing w:before="60" w:after="60"/>
              <w:rPr>
                <w:rFonts w:cstheme="minorHAnsi"/>
                <w:iCs/>
                <w:noProof/>
              </w:rPr>
            </w:pPr>
            <w:r w:rsidRPr="005F138D">
              <w:rPr>
                <w:rFonts w:cstheme="minorHAnsi"/>
                <w:iCs/>
                <w:noProof/>
              </w:rPr>
              <w:t>Virtual Meeting</w:t>
            </w:r>
          </w:p>
        </w:tc>
      </w:tr>
      <w:tr w:rsidTr="00B626F9">
        <w:tblPrEx>
          <w:tblW w:w="0" w:type="auto"/>
          <w:tblLayout w:type="fixed"/>
          <w:tblLook w:val="04A0"/>
        </w:tblPrEx>
        <w:tc>
          <w:tcPr>
            <w:tcW w:w="1435" w:type="dxa"/>
          </w:tcPr>
          <w:p w:rsidR="00CF4608" w:rsidRPr="005F138D" w:rsidP="00373A01">
            <w:pPr>
              <w:spacing w:before="60" w:after="60"/>
              <w:rPr>
                <w:rFonts w:cstheme="minorHAnsi"/>
                <w:b/>
                <w:iCs/>
                <w:color w:val="0073AE"/>
              </w:rPr>
            </w:pPr>
            <w:r w:rsidRPr="005F138D">
              <w:rPr>
                <w:rFonts w:cstheme="minorHAnsi"/>
                <w:b/>
                <w:iCs/>
                <w:color w:val="0073AE"/>
              </w:rPr>
              <w:t>Topic</w:t>
            </w:r>
          </w:p>
        </w:tc>
        <w:tc>
          <w:tcPr>
            <w:tcW w:w="7920" w:type="dxa"/>
            <w:gridSpan w:val="3"/>
          </w:tcPr>
          <w:p w:rsidR="00CF4608" w:rsidRPr="005F138D" w:rsidP="00373A01">
            <w:pPr>
              <w:spacing w:before="60" w:after="60"/>
              <w:rPr>
                <w:rFonts w:cstheme="minorHAnsi"/>
                <w:iCs/>
                <w:noProof/>
              </w:rPr>
            </w:pPr>
            <w:r>
              <w:rPr>
                <w:rtl w:val="0"/>
              </w:rPr>
              <w:t>This discussion will cover the primary and secondary prevention and treatment of osteoporosis.</w:t>
            </w:r>
          </w:p>
        </w:tc>
      </w:tr>
    </w:tbl>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Objectives:</w:t>
      </w:r>
    </w:p>
    <w:p w:rsidR="00805127" w:rsidRPr="005F138D" w:rsidP="00602C5E">
      <w:pPr>
        <w:spacing w:after="120" w:line="240" w:lineRule="auto"/>
        <w:rPr>
          <w:rFonts w:eastAsia="Times New Roman" w:cstheme="minorHAnsi"/>
          <w:bCs/>
          <w:iCs/>
          <w:sz w:val="20"/>
          <w:szCs w:val="20"/>
        </w:rPr>
      </w:pPr>
      <w:r w:rsidRPr="005F138D">
        <w:rPr>
          <w:rFonts w:eastAsia="Times New Roman" w:cstheme="minorHAnsi"/>
          <w:bCs/>
          <w:iCs/>
          <w:sz w:val="20"/>
          <w:szCs w:val="20"/>
        </w:rPr>
        <w:t>A</w:t>
      </w:r>
      <w:r w:rsidR="00C63AD9">
        <w:rPr>
          <w:rFonts w:eastAsia="Times New Roman" w:cstheme="minorHAnsi"/>
          <w:bCs/>
          <w:iCs/>
          <w:sz w:val="20"/>
          <w:szCs w:val="20"/>
        </w:rPr>
        <w:t>fter</w:t>
      </w:r>
      <w:r w:rsidRPr="005F138D">
        <w:rPr>
          <w:rFonts w:eastAsia="Times New Roman" w:cstheme="minorHAnsi"/>
          <w:bCs/>
          <w:iCs/>
          <w:sz w:val="20"/>
          <w:szCs w:val="20"/>
        </w:rPr>
        <w:t xml:space="preserve"> this activity, the participant will be able to:</w:t>
      </w:r>
    </w:p>
    <w:p w:rsidR="00810AC6"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IF </w:instrText>
      </w:r>
      <w:r w:rsidRPr="005F138D" w:rsidR="00373A01">
        <w:rPr>
          <w:rFonts w:eastAsia="Times New Roman" w:cstheme="minorHAnsi"/>
          <w:iCs/>
          <w:noProof/>
          <w:sz w:val="20"/>
          <w:szCs w:val="20"/>
        </w:rPr>
        <w:instrText>"</w:instrText>
      </w:r>
      <w:r w:rsidRPr="005F138D" w:rsidR="00373A01">
        <w:rPr>
          <w:rFonts w:eastAsia="Times New Roman" w:cstheme="minorHAnsi"/>
          <w:iCs/>
          <w:noProof/>
          <w:sz w:val="20"/>
          <w:szCs w:val="20"/>
        </w:rPr>
        <w:instrText>"</w:instrText>
      </w:r>
      <w:r w:rsidRPr="005F138D">
        <w:rPr>
          <w:rFonts w:eastAsia="Times New Roman" w:cstheme="minorHAnsi"/>
          <w:iCs/>
          <w:noProof/>
          <w:sz w:val="20"/>
          <w:szCs w:val="20"/>
        </w:rPr>
        <w:instrText xml:space="preserve"> &gt; 0 “</w:instrText>
      </w:r>
    </w:p>
    <w:p w:rsidR="00053340"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MERGEFIELD PharmObjectives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fldChar w:fldCharType="end"/>
      </w:r>
      <w:r w:rsidRPr="005F138D">
        <w:rPr>
          <w:rFonts w:eastAsia="Times New Roman" w:cstheme="minorHAnsi"/>
          <w:iCs/>
          <w:noProof/>
          <w:sz w:val="20"/>
          <w:szCs w:val="20"/>
        </w:rPr>
        <w:instrText>” “</w:instrText>
      </w:r>
      <w:r w:rsidRPr="005F138D">
        <w:rPr>
          <w:rFonts w:eastAsia="Times New Roman" w:cstheme="minorHAnsi"/>
          <w:iCs/>
          <w:noProof/>
          <w:sz w:val="20"/>
          <w:szCs w:val="20"/>
        </w:rPr>
        <w:instrText>1 Screen patients at risk for low bone mass/osteoporosis using the current USPSTF guidelines including the use of formal risk assessment.</w:instrTex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instrText>2 Determine the appropriate first line medication for patients with osteoporosis at high and very high risk of fracture.</w:instrTex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instrText>3 Discuss the risks and benefits of maintaining patients on bisphosphonantes over 5 years.</w:instrTex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instrText>4 Discuss the sequential use of osteoporosis medications throughout a lifetime.</w:instrText>
      </w:r>
      <w:r w:rsidRPr="005F138D">
        <w:rPr>
          <w:rFonts w:eastAsia="Times New Roman" w:cstheme="minorHAnsi"/>
          <w:iCs/>
          <w:noProof/>
          <w:sz w:val="20"/>
          <w:szCs w:val="20"/>
        </w:rPr>
        <w:instrText xml:space="preserve">”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t>1 Screen patients at risk for low bone mass/osteoporosis using the current USPSTF guidelines including the use of formal risk assessment.</w: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t>2 Determine the appropriate first line medication for patients with osteoporosis at high and very high risk of fracture.</w: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t>3 Discuss the risks and benefits of maintaining patients on bisphosphonantes over 5 years.</w: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t>4 Discuss the sequential use of osteoporosis medications throughout a lifetime.</w:t>
      </w:r>
      <w:r w:rsidRPr="005F138D">
        <w:rPr>
          <w:rFonts w:eastAsia="Times New Roman" w:cstheme="minorHAnsi"/>
          <w:iCs/>
          <w:noProof/>
          <w:sz w:val="20"/>
          <w:szCs w:val="20"/>
        </w:rPr>
        <w:fldChar w:fldCharType="end"/>
      </w:r>
    </w:p>
    <w:p w:rsidR="00373A01" w:rsidRPr="005F138D" w:rsidP="00053340">
      <w:pPr>
        <w:spacing w:after="120" w:line="240" w:lineRule="auto"/>
        <w:rPr>
          <w:rFonts w:eastAsia="Times New Roman" w:cstheme="minorHAnsi"/>
          <w:iCs/>
          <w:sz w:val="20"/>
          <w:szCs w:val="20"/>
        </w:rPr>
      </w:pPr>
      <w:r w:rsidRPr="005F138D">
        <w:rPr>
          <w:rFonts w:eastAsia="Times New Roman" w:cstheme="minorHAnsi"/>
          <w:b/>
          <w:iCs/>
          <w:color w:val="0073AE"/>
        </w:rPr>
        <w:t>Accreditation:</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w:instrText>
      </w:r>
      <w:r w:rsidRPr="005F138D" w:rsidR="00061F86">
        <w:rPr>
          <w:rFonts w:eastAsia="Times New Roman" w:cstheme="minorHAnsi"/>
          <w:bCs/>
          <w:iCs/>
          <w:color w:val="000000"/>
          <w:sz w:val="20"/>
          <w:szCs w:val="20"/>
        </w:rPr>
        <w:instrText>&lt;</w:instrText>
      </w:r>
      <w:r w:rsidRPr="005F138D">
        <w:rPr>
          <w:rFonts w:eastAsia="Times New Roman" w:cstheme="minorHAnsi"/>
          <w:bCs/>
          <w:iCs/>
          <w:color w:val="000000"/>
          <w:sz w:val="20"/>
          <w:szCs w:val="20"/>
        </w:rPr>
        <w:instrText>&gt; 0 "</w:instrText>
      </w:r>
    </w:p>
    <w:p w:rsidR="00373A01" w:rsidRPr="005F138D" w:rsidP="00373A01">
      <w:pPr>
        <w:spacing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Accreditation Council for Pharmacy Education (ACPE)</w:instrText>
      </w:r>
    </w:p>
    <w:p w:rsidR="00A44D74" w:rsidRPr="005F138D" w:rsidP="00053340">
      <w:pPr>
        <w:spacing w:after="120" w:line="240" w:lineRule="auto"/>
        <w:rPr>
          <w:rFonts w:eastAsia="Times New Roman" w:cstheme="minorHAnsi"/>
          <w:iCs/>
          <w:noProof/>
          <w:sz w:val="20"/>
          <w:szCs w:val="20"/>
        </w:rPr>
      </w:pPr>
      <w:r w:rsidRPr="005F138D">
        <w:rPr>
          <w:rFonts w:eastAsia="Times New Roman" w:cstheme="minorHAnsi"/>
          <w:bCs/>
          <w:noProof/>
          <w:szCs w:val="24"/>
        </w:rPr>
        <w:drawing>
          <wp:anchor distT="0" distB="0" distL="114300" distR="114300" simplePos="0" relativeHeight="251658240" behindDoc="1" locked="0" layoutInCell="1" allowOverlap="1">
            <wp:simplePos x="0" y="0"/>
            <wp:positionH relativeFrom="column">
              <wp:posOffset>3810</wp:posOffset>
            </wp:positionH>
            <wp:positionV relativeFrom="paragraph">
              <wp:posOffset>13640</wp:posOffset>
            </wp:positionV>
            <wp:extent cx="357505" cy="365760"/>
            <wp:effectExtent l="0" t="0" r="4445" b="0"/>
            <wp:wrapSquare wrapText="bothSides"/>
            <wp:docPr id="25" name="Picture 25"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4.png"/>
                    <pic:cNvPicPr/>
                  </pic:nvPicPr>
                  <pic:blipFill rotWithShape="1">
                    <a:blip xmlns:r="http://schemas.openxmlformats.org/officeDocument/2006/relationships" r:embed="rId5"/>
                    <a:srcRect l="10628" t="3007" b="9151"/>
                    <a:stretch/>
                  </pic:blipFill>
                  <pic:spPr bwMode="auto">
                    <a:xfrm>
                      <a:off x="0" y="0"/>
                      <a:ext cx="357505" cy="36576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This activity provides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ACPEMax </w:instrText>
      </w:r>
      <w:r w:rsidRPr="005F138D" w:rsidR="009A1B2A">
        <w:rPr>
          <w:rFonts w:eastAsia="Times New Roman" w:cstheme="minorHAnsi"/>
          <w:bCs/>
          <w:iCs/>
          <w:color w:val="000000"/>
          <w:sz w:val="20"/>
          <w:szCs w:val="20"/>
        </w:rPr>
        <w:instrText xml:space="preserve">\# 0.00# </w:instrText>
      </w:r>
      <w:r w:rsidRPr="005F138D">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contact hours of continuing education.</w:instrText>
      </w:r>
      <w:r w:rsidRPr="005F138D">
        <w:rPr>
          <w:rFonts w:eastAsia="Times New Roman" w:cstheme="minorHAnsi"/>
          <w:bCs/>
          <w:iCs/>
          <w:color w:val="000000"/>
          <w:sz w:val="20"/>
          <w:szCs w:val="20"/>
        </w:rPr>
        <w:fldChar w:fldCharType="separate"/>
      </w:r>
      <w:r w:rsidRPr="005F138D" w:rsidR="00373A01">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t xml:space="preserve"> ACPE Universal Activity Number (UAN): </w: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IF </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 xml:space="preserve"> &lt;&gt; "" "Pharmacists: </w:instrTex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MERGEFIELD ACPEPharmUAN </w:instrText>
      </w:r>
      <w:r w:rsidRPr="005F138D" w:rsidR="009A1B2A">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«ACPEPharmUAN»</w:instrText>
      </w:r>
      <w:r w:rsidRPr="005F138D" w:rsidR="009A1B2A">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instrText xml:space="preserve">" " Technician: </w:instrText>
      </w:r>
      <w:r w:rsidRPr="005F138D" w:rsidR="009A1B2A">
        <w:rPr>
          <w:rFonts w:eastAsia="Times New Roman" w:cstheme="minorHAnsi"/>
          <w:bCs/>
          <w:iCs/>
          <w:color w:val="000000"/>
          <w:sz w:val="20"/>
          <w:szCs w:val="20"/>
        </w:rPr>
        <w:instrText xml:space="preserve">" </w:instrText>
      </w:r>
      <w:r w:rsidRPr="005F138D" w:rsidR="009A1B2A">
        <w:rPr>
          <w:rFonts w:eastAsia="Times New Roman" w:cstheme="minorHAnsi"/>
          <w:bCs/>
          <w:iCs/>
          <w:color w:val="000000"/>
          <w:sz w:val="20"/>
          <w:szCs w:val="20"/>
        </w:rPr>
        <w:fldChar w:fldCharType="separate"/>
      </w:r>
      <w:r w:rsidRPr="005F138D" w:rsidR="009A1B2A">
        <w:rPr>
          <w:rFonts w:eastAsia="Times New Roman" w:cstheme="minorHAnsi"/>
          <w:bCs/>
          <w:iCs/>
          <w:color w:val="000000"/>
          <w:sz w:val="20"/>
          <w:szCs w:val="20"/>
        </w:rPr>
        <w:t xml:space="preserve"> Technician: </w:t>
      </w:r>
      <w:r w:rsidRPr="005F138D" w:rsidR="009A1B2A">
        <w:rPr>
          <w:rFonts w:eastAsia="Times New Roman" w:cstheme="minorHAnsi"/>
          <w:bCs/>
          <w:iCs/>
          <w:color w:val="000000"/>
          <w:sz w:val="20"/>
          <w:szCs w:val="20"/>
        </w:rPr>
        <w:fldChar w:fldCharType="end"/>
      </w:r>
      <w:r w:rsidRPr="005F138D" w:rsidR="00373A01">
        <w:rPr>
          <w:rFonts w:eastAsia="Times New Roman" w:cstheme="minorHAnsi"/>
          <w:bCs/>
          <w:iCs/>
          <w:color w:val="000000"/>
          <w:sz w:val="20"/>
          <w:szCs w:val="20"/>
        </w:rPr>
        <w:fldChar w:fldCharType="begin"/>
      </w:r>
      <w:r w:rsidRPr="005F138D" w:rsidR="00373A01">
        <w:rPr>
          <w:rFonts w:eastAsia="Times New Roman" w:cstheme="minorHAnsi"/>
          <w:bCs/>
          <w:iCs/>
          <w:color w:val="000000"/>
          <w:sz w:val="20"/>
          <w:szCs w:val="20"/>
        </w:rPr>
        <w:instrText xml:space="preserve"> IF </w:instrText>
      </w:r>
      <w:r w:rsidRPr="005F138D" w:rsidR="00373A01">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College of Sports Medicine (ACSM)</w:instrText>
      </w:r>
    </w:p>
    <w:p w:rsidR="00373A01" w:rsidRPr="005F138D" w:rsidP="00373A01">
      <w:pPr>
        <w:spacing w:after="0" w:line="240" w:lineRule="auto"/>
        <w:rPr>
          <w:rFonts w:eastAsia="Times New Roman" w:cstheme="minorHAnsi"/>
          <w:sz w:val="20"/>
          <w:szCs w:val="20"/>
        </w:rPr>
      </w:pPr>
      <w:r w:rsidRPr="005F138D">
        <w:rPr>
          <w:rFonts w:eastAsia="Times New Roman" w:cstheme="minorHAnsi"/>
          <w:noProof/>
          <w:sz w:val="20"/>
          <w:szCs w:val="20"/>
        </w:rPr>
        <w:drawing>
          <wp:anchor distT="0" distB="0" distL="114300" distR="114300" simplePos="0" relativeHeight="251663360" behindDoc="0" locked="0" layoutInCell="1" allowOverlap="1">
            <wp:simplePos x="0" y="0"/>
            <wp:positionH relativeFrom="margin">
              <wp:posOffset>0</wp:posOffset>
            </wp:positionH>
            <wp:positionV relativeFrom="paragraph">
              <wp:posOffset>9195</wp:posOffset>
            </wp:positionV>
            <wp:extent cx="365760" cy="357505"/>
            <wp:effectExtent l="0" t="0" r="0" b="4445"/>
            <wp:wrapSquare wrapText="bothSides"/>
            <wp:docPr id="6" name="Picture 6" descr="A picture containing metalware,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etalware, chain&#10;&#10;Description automatically generated"/>
                    <pic:cNvPicPr/>
                  </pic:nvPicPr>
                  <pic:blipFill>
                    <a:blip xmlns:r="http://schemas.openxmlformats.org/officeDocument/2006/relationships" r:embed="rId6"/>
                    <a:stretch>
                      <a:fillRect/>
                    </a:stretch>
                  </pic:blipFill>
                  <pic:spPr>
                    <a:xfrm>
                      <a:off x="0" y="0"/>
                      <a:ext cx="365760" cy="357505"/>
                    </a:xfrm>
                    <a:prstGeom prst="rect">
                      <a:avLst/>
                    </a:prstGeom>
                  </pic:spPr>
                </pic:pic>
              </a:graphicData>
            </a:graphic>
          </wp:anchor>
        </w:drawing>
      </w:r>
      <w:r w:rsidRPr="005F138D">
        <w:rPr>
          <w:rFonts w:eastAsia="Times New Roman" w:cstheme="minorHAnsi"/>
          <w:sz w:val="20"/>
          <w:szCs w:val="20"/>
        </w:rPr>
        <w:instrText>The American College of Sports Medicine’s Professional Education Committee certifies that AdventHealth Orlando meets the criteria for official ACSM Approved Provider status from 2021-2023.</w:instrText>
      </w:r>
    </w:p>
    <w:p w:rsidR="00373A01" w:rsidRPr="005F138D" w:rsidP="00373A01">
      <w:pPr>
        <w:spacing w:after="0" w:line="240" w:lineRule="auto"/>
        <w:jc w:val="both"/>
        <w:rPr>
          <w:rFonts w:eastAsia="Times New Roman" w:cstheme="minorHAnsi"/>
          <w:sz w:val="20"/>
          <w:szCs w:val="20"/>
        </w:rPr>
      </w:pPr>
    </w:p>
    <w:p w:rsidR="00373A01" w:rsidRPr="005F138D" w:rsidP="00373A01">
      <w:pPr>
        <w:tabs>
          <w:tab w:val="left" w:pos="6480"/>
        </w:tabs>
        <w:spacing w:after="0" w:line="240" w:lineRule="auto"/>
        <w:rPr>
          <w:rFonts w:eastAsia="Times New Roman" w:cstheme="minorHAnsi"/>
          <w:sz w:val="20"/>
          <w:szCs w:val="20"/>
        </w:rPr>
      </w:pPr>
      <w:r w:rsidRPr="005F138D">
        <w:rPr>
          <w:rFonts w:eastAsia="Times New Roman" w:cstheme="minorHAnsi"/>
          <w:sz w:val="20"/>
          <w:szCs w:val="20"/>
        </w:rPr>
        <w:instrText xml:space="preserve">Approved Provider Number: </w:instrTex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sz w:val="20"/>
          <w:szCs w:val="20"/>
        </w:rPr>
        <w:instrText xml:space="preserve">CECs Awarded: </w:instrText>
      </w:r>
      <w:r w:rsidRPr="005F138D">
        <w:rPr>
          <w:rFonts w:eastAsia="Times New Roman" w:cstheme="minorHAnsi"/>
          <w:sz w:val="20"/>
          <w:szCs w:val="20"/>
        </w:rPr>
        <w:instrText>" ""</w:instrText>
      </w:r>
      <w:r w:rsidRPr="005F138D">
        <w:rPr>
          <w:rFonts w:eastAsia="Times New Roman" w:cstheme="minorHAnsi"/>
          <w:bCs/>
          <w:iCs/>
          <w:color w:val="000000"/>
          <w:sz w:val="20"/>
          <w:szCs w:val="20"/>
        </w:rPr>
        <w:instrText xml:space="preserve">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&lt;&gt;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has been planned and implemented in accordance with the accreditation requirements and policies of the Florida Medical Association (FMA) through the joint providership of AdventHealth Orlando and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JointProvidershipName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«JointProvidershipName»</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AdventHealth Orlando is accredited by the FMA to provide continuing medical education for physicians.</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ActivityFormat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«ActivityFormat»</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w:instrText>
      </w:r>
      <w:r w:rsidRPr="005F138D" w:rsidR="00E81A45">
        <w:rPr>
          <w:rFonts w:eastAsia="Times New Roman" w:cstheme="minorHAnsi"/>
          <w:bCs/>
          <w:iCs/>
          <w:color w:val="000000"/>
          <w:sz w:val="20"/>
          <w:szCs w:val="20"/>
        </w:rPr>
        <w:instrText>Physician</w:instrText>
      </w:r>
      <w:r w:rsidRPr="005F138D">
        <w:rPr>
          <w:rFonts w:eastAsia="Times New Roman" w:cstheme="minorHAnsi"/>
          <w:bCs/>
          <w:iCs/>
          <w:color w:val="000000"/>
          <w:sz w:val="20"/>
          <w:szCs w:val="20"/>
        </w:rPr>
        <w:instrText xml:space="preserve">Max \# 0.00#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«PhysicianMax»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xml:space="preserve">. Physicians should only claim the credit commensurate with the extent of their participation in the activity."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 ""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00A44D74" w:rsidRPr="005F138D" w:rsidP="00373A01">
      <w:pPr>
        <w:tabs>
          <w:tab w:val="left" w:pos="6480"/>
        </w:tabs>
        <w:spacing w:before="120" w:after="0" w:line="240" w:lineRule="auto"/>
        <w:rPr>
          <w:rFonts w:eastAsia="Times New Roman" w:cstheme="minorHAnsi"/>
          <w:bCs/>
          <w:iCs/>
          <w:noProof/>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American Medical Association (AMA)</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AdventHealth Orlando is accredited by the Florida Medical Association (FMA) to provide continuing medical education for physicians.</w: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 xml:space="preserve">AdventHealth Orlando designates this </w:t>
      </w:r>
      <w:r w:rsidRPr="005F138D">
        <w:rPr>
          <w:rFonts w:eastAsia="Times New Roman" w:cstheme="minorHAnsi"/>
          <w:bCs/>
          <w:iCs/>
          <w:color w:val="000000"/>
          <w:sz w:val="20"/>
          <w:szCs w:val="20"/>
        </w:rPr>
        <w:t>Live Activity</w:t>
      </w:r>
      <w:r w:rsidRPr="005F138D">
        <w:rPr>
          <w:rFonts w:eastAsia="Times New Roman" w:cstheme="minorHAnsi"/>
          <w:bCs/>
          <w:iCs/>
          <w:color w:val="000000"/>
          <w:sz w:val="20"/>
          <w:szCs w:val="20"/>
        </w:rPr>
        <w:t xml:space="preserve"> for a maximum of </w:t>
      </w:r>
      <w:r w:rsidRPr="005F138D">
        <w:rPr>
          <w:rFonts w:eastAsia="Times New Roman" w:cstheme="minorHAnsi"/>
          <w:bCs/>
          <w:iCs/>
          <w:color w:val="000000"/>
          <w:sz w:val="20"/>
          <w:szCs w:val="20"/>
        </w:rPr>
        <w:t>1.00</w:t>
      </w:r>
      <w:r w:rsidRPr="005F138D">
        <w:rPr>
          <w:rFonts w:eastAsia="Times New Roman" w:cstheme="minorHAnsi"/>
          <w:bCs/>
          <w:iCs/>
          <w:color w:val="000000"/>
          <w:sz w:val="20"/>
          <w:szCs w:val="20"/>
        </w:rPr>
        <w:t xml:space="preserve"> </w:t>
      </w:r>
      <w:r w:rsidRPr="005F138D">
        <w:rPr>
          <w:rFonts w:eastAsia="Times New Roman" w:cstheme="minorHAnsi"/>
          <w:bCs/>
          <w:i/>
          <w:color w:val="000000"/>
          <w:sz w:val="20"/>
          <w:szCs w:val="20"/>
        </w:rPr>
        <w:t>AMA PRA Category 1 Credit(s)™</w:t>
      </w:r>
      <w:r w:rsidRPr="005F138D">
        <w:rPr>
          <w:rFonts w:eastAsia="Times New Roman" w:cstheme="minorHAnsi"/>
          <w:bCs/>
          <w:iCs/>
          <w:color w:val="000000"/>
          <w:sz w:val="20"/>
          <w:szCs w:val="20"/>
        </w:rPr>
        <w:t>. Physicians should only claim the credit commensurate with the extent of their participation in the activity.</w:t>
      </w:r>
      <w:r w:rsidRPr="005F138D">
        <w:rPr>
          <w:rFonts w:eastAsia="Times New Roman" w:cstheme="minorHAnsi"/>
          <w:bCs/>
          <w:iCs/>
          <w:color w:val="000000"/>
          <w:sz w:val="20"/>
          <w:szCs w:val="20"/>
        </w:rPr>
        <w:fldChar w:fldCharType="end"/>
      </w:r>
      <w:r w:rsidRPr="005F138D">
        <w:rPr>
          <w:rFonts w:eastAsia="Times New Roman" w:cstheme="minorHAnsi"/>
          <w:color w:val="000000"/>
          <w:sz w:val="20"/>
          <w:szCs w:val="20"/>
        </w:rPr>
        <w:t xml:space="preserve"> </w:t>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1-A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1-B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2" name="Picture 2"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A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ind w:left="90" w:hanging="90"/>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3" name="Picture 3"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B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ind w:left="90" w:hanging="90"/>
        <w:rPr>
          <w:rFonts w:eastAsia="Times New Roman" w:cstheme="minorHAnsi"/>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4" name="Picture 4"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C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color w:val="000000"/>
          <w:sz w:val="20"/>
          <w:szCs w:val="20"/>
        </w:rPr>
        <w:drawing>
          <wp:anchor distT="0" distB="0" distL="114300" distR="114300" simplePos="0" relativeHeight="251662336"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5" name="Picture 5"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D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&gt; 0 "</w:instrText>
      </w:r>
    </w:p>
    <w:p w:rsidR="00D52BE9" w:rsidRPr="005F138D" w:rsidP="00D52BE9">
      <w:pPr>
        <w:autoSpaceDE w:val="0"/>
        <w:autoSpaceDN w:val="0"/>
        <w:adjustRightInd w:val="0"/>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Nursing</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The Florida Board of Nursing accepts a CE activity that has been approved by an agency that regulates a healthcare profession or discipline in Florida or another jurisdiction.</w:instrText>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t xml:space="preserve"> </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Occupational Therapy Section, Florida Occupational Therapy, Physical Therapy, and Athletic Trainers Board</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Occupational Therapy Section of the Florida Occupational Therapy, Physical Therapy, and Athletic Trainers Board to provide </w:instrText>
      </w:r>
      <w:r w:rsidRPr="005F138D">
        <w:rPr>
          <w:rFonts w:eastAsia="Times New Roman" w:cstheme="minorHAnsi"/>
          <w:bCs/>
          <w:iCs/>
          <w:color w:val="000000"/>
          <w:sz w:val="20"/>
          <w:szCs w:val="20"/>
        </w:rPr>
        <w:instrText xml:space="preserve"> contact hours of occupational therapy continuing education."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Physical Therapy Association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Florida  Physical Therapy Association (OPTA) to provide </w:instrText>
      </w:r>
      <w:r w:rsidRPr="005F138D">
        <w:rPr>
          <w:rFonts w:eastAsia="Times New Roman" w:cstheme="minorHAnsi"/>
          <w:bCs/>
          <w:iCs/>
          <w:color w:val="000000"/>
          <w:sz w:val="20"/>
          <w:szCs w:val="20"/>
        </w:rPr>
        <w:instrText xml:space="preserve"> CE hours in Florida."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Speech-Language Pathology and Audiology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event has been approved by the Florida Board of Speech-Language Pathology and Audiology for </w:instrText>
      </w:r>
      <w:r w:rsidRPr="005F138D">
        <w:rPr>
          <w:rFonts w:eastAsia="Times New Roman" w:cstheme="minorHAnsi"/>
          <w:bCs/>
          <w:iCs/>
          <w:color w:val="000000"/>
          <w:sz w:val="20"/>
          <w:szCs w:val="20"/>
        </w:rPr>
        <w:instrText xml:space="preserve"> clock hours of continuing education in the category that is specific to the clinical practice of speech-language pathology."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Anesthesiology MOCA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before="120" w:after="360" w:line="240" w:lineRule="auto"/>
        <w:rPr>
          <w:rFonts w:eastAsia="Times New Roman" w:cstheme="minorHAnsi"/>
          <w:bCs/>
          <w:iCs/>
          <w:color w:val="000000"/>
          <w:sz w:val="20"/>
          <w:szCs w:val="20"/>
        </w:rPr>
      </w:pPr>
      <w:r w:rsidRPr="005F138D">
        <w:rPr>
          <w:rFonts w:eastAsia="Times New Roman" w:cstheme="minorHAnsi"/>
          <w:sz w:val="20"/>
          <w:szCs w:val="20"/>
        </w:rPr>
        <w:instrText>This activity contributes to the CME component of the American Board of Anesthesiology's redesigned Maintenance of Certification in Anesthesiology™ (MOCA®) program, known as MOCA 2.0</w:instrText>
      </w:r>
      <w:r w:rsidRPr="005F138D">
        <w:rPr>
          <w:rFonts w:eastAsia="Times New Roman" w:cstheme="minorHAnsi"/>
          <w:sz w:val="20"/>
          <w:szCs w:val="20"/>
          <w:vertAlign w:val="superscript"/>
        </w:rPr>
        <w:instrText>©</w:instrText>
      </w:r>
      <w:r w:rsidRPr="005F138D">
        <w:rPr>
          <w:rFonts w:eastAsia="Times New Roman" w:cstheme="minorHAnsi"/>
          <w:sz w:val="20"/>
          <w:szCs w:val="20"/>
        </w:rPr>
        <w:instrText xml:space="preserve">. Please consult the ABA website, </w:instrText>
      </w:r>
      <w:r>
        <w:fldChar w:fldCharType="begin"/>
      </w:r>
      <w:r>
        <w:instrText xml:space="preserve"> HYPERLINK "https://www.theaba.org/" </w:instrText>
      </w:r>
      <w:r>
        <w:fldChar w:fldCharType="separate"/>
      </w:r>
      <w:r w:rsidRPr="005F138D">
        <w:rPr>
          <w:rFonts w:eastAsia="Times New Roman" w:cstheme="minorHAnsi"/>
          <w:color w:val="0000FF"/>
          <w:sz w:val="20"/>
          <w:szCs w:val="20"/>
          <w:u w:val="single"/>
        </w:rPr>
        <w:instrText>www.theABA.org</w:instrText>
      </w:r>
      <w:r>
        <w:fldChar w:fldCharType="end"/>
      </w:r>
      <w:r w:rsidRPr="005F138D">
        <w:rPr>
          <w:rFonts w:eastAsia="Times New Roman" w:cstheme="minorHAnsi"/>
          <w:sz w:val="20"/>
          <w:szCs w:val="20"/>
        </w:rPr>
        <w:instrText xml:space="preserve">, for a list of all MOCA 2.0 requirements. </w:instrText>
      </w:r>
      <w:r w:rsidRPr="005F138D">
        <w:rPr>
          <w:rFonts w:eastAsia="Times New Roman" w:cstheme="minorHAnsi"/>
          <w:sz w:val="20"/>
          <w:szCs w:val="20"/>
        </w:rPr>
        <w:instrText xml:space="preserve"> points"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Anesthesiology MOCA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offers up to </w:instrText>
      </w:r>
      <w:r w:rsidRPr="005F138D">
        <w:rPr>
          <w:rFonts w:eastAsia="Times New Roman" w:cstheme="minorHAnsi"/>
          <w:bCs/>
          <w:iCs/>
          <w:color w:val="000000"/>
          <w:sz w:val="20"/>
          <w:szCs w:val="20"/>
        </w:rPr>
        <w:instrText xml:space="preserve"> credits, which contributes to the pateint safety CME component of the American Board of Anesthesiology's redesigned Maintenance of Certification for Anesthesiology™ (MOCA®) program, known as MOCA 2.0®. Please consult the ABA website, www.theABA.org, for a list of all MOCA 2.0 requirements."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914400" cy="311899"/>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5408" behindDoc="0" locked="0" layoutInCell="1" allowOverlap="1">
            <wp:simplePos x="0" y="0"/>
            <wp:positionH relativeFrom="margin">
              <wp:align>left</wp:align>
            </wp:positionH>
            <wp:positionV relativeFrom="paragraph">
              <wp:posOffset>7620</wp:posOffset>
            </wp:positionV>
            <wp:extent cx="914400" cy="311899"/>
            <wp:effectExtent l="0" t="0" r="0" b="0"/>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6432" behindDoc="0" locked="0" layoutInCell="1" allowOverlap="1">
            <wp:simplePos x="0" y="0"/>
            <wp:positionH relativeFrom="margin">
              <wp:align>left</wp:align>
            </wp:positionH>
            <wp:positionV relativeFrom="paragraph">
              <wp:posOffset>7620</wp:posOffset>
            </wp:positionV>
            <wp:extent cx="914400" cy="311575"/>
            <wp:effectExtent l="0" t="0" r="0" b="0"/>
            <wp:wrapSquare wrapText="bothSides"/>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575"/>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Lifelong Learning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Improvement in Medical Practice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Patient Safety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Self-Assessment requirement for the American Board of Ophthalmology's Continuing Certification program. It is the CME activity provider's responsibility to submit participant completion information to ACCME for the purpose of granting credit."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the required annual part II self-assessment credit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instrText xml:space="preserve"> credits"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improvement in medical practice requirement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patient safety requirement in the American Board of Otolaryngology – Head and Neck Surgery’s Continuing Certification program (formerly known as MOC). It is the CME activity provider’s responsibility to submit participant completion information to ACCME for the purpose of recognizing participation."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Pediatrics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up to </w:instrText>
      </w:r>
      <w:r w:rsidRPr="005F138D">
        <w:rPr>
          <w:rFonts w:eastAsia="Times New Roman" w:cstheme="minorHAnsi"/>
          <w:bCs/>
          <w:iCs/>
          <w:color w:val="000000"/>
          <w:sz w:val="20"/>
          <w:szCs w:val="20"/>
        </w:rPr>
        <w:instrText xml:space="preserve"> MOC points in the American Board of Pediatrics’ (ABP) Maintenance of Certification (MOC) program. It is the CME activity provider’s responsibility to submit participant completion information to ACCME for the purpose of granting ABP MOC credit.</w:instrText>
      </w:r>
      <w:r w:rsidRPr="005F138D">
        <w:rPr>
          <w:rFonts w:eastAsia="Times New Roman" w:cstheme="minorHAnsi"/>
          <w:noProof/>
          <w:sz w:val="24"/>
          <w:szCs w:val="24"/>
        </w:rPr>
        <w:drawing>
          <wp:anchor distT="0" distB="0" distL="182880" distR="114300" simplePos="0" relativeHeight="251667456" behindDoc="0" locked="0" layoutInCell="1" allowOverlap="1">
            <wp:simplePos x="0" y="0"/>
            <wp:positionH relativeFrom="margin">
              <wp:align>left</wp:align>
            </wp:positionH>
            <wp:positionV relativeFrom="paragraph">
              <wp:posOffset>6985</wp:posOffset>
            </wp:positionV>
            <wp:extent cx="457200" cy="457200"/>
            <wp:effectExtent l="0" t="0" r="0" b="0"/>
            <wp:wrapSquare wrapText="bothSides"/>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xmlns:r="http://schemas.openxmlformats.org/officeDocument/2006/relationships" r:embed="rId10"/>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Lifelong Learning component in the American Board of Pathology’s (ABPath) Continuing Certification program. It is the CME activity provider’s responsibility to submit participant completion information to ACCME for the purpose of granting ABPath MOC credit.</w:instrText>
      </w:r>
      <w:r w:rsidRPr="005F138D">
        <w:rPr>
          <w:rFonts w:eastAsia="Times New Roman" w:cstheme="minorHAnsi"/>
          <w:noProof/>
          <w:sz w:val="24"/>
          <w:szCs w:val="24"/>
        </w:rPr>
        <w:drawing>
          <wp:anchor distT="0" distB="0" distL="182880" distR="114300" simplePos="0" relativeHeight="251668480" behindDoc="0" locked="0" layoutInCell="1" allowOverlap="1">
            <wp:simplePos x="0" y="0"/>
            <wp:positionH relativeFrom="margin">
              <wp:align>left</wp:align>
            </wp:positionH>
            <wp:positionV relativeFrom="paragraph">
              <wp:posOffset>7620</wp:posOffset>
            </wp:positionV>
            <wp:extent cx="731520" cy="499000"/>
            <wp:effectExtent l="0" t="0" r="0" b="0"/>
            <wp:wrapSquare wrapText="bothSides"/>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900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69504" behindDoc="0" locked="0" layoutInCell="1" allowOverlap="1">
            <wp:simplePos x="0" y="0"/>
            <wp:positionH relativeFrom="margin">
              <wp:posOffset>17145</wp:posOffset>
            </wp:positionH>
            <wp:positionV relativeFrom="paragraph">
              <wp:posOffset>24130</wp:posOffset>
            </wp:positionV>
            <wp:extent cx="731520" cy="498475"/>
            <wp:effectExtent l="0" t="0" r="0" b="0"/>
            <wp:wrapSquare wrapText="bothSides"/>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8475"/>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Improvement in Medical Practice component in the American Board of Pathology’s (ABPath) Continuing Certification program. It is the CME activity provider’s responsibility to submit participant completion information to ACCME for the purpose of granting ABPath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0528" behindDoc="0" locked="0" layoutInCell="1" allowOverlap="1">
            <wp:simplePos x="0" y="0"/>
            <wp:positionH relativeFrom="margin">
              <wp:posOffset>0</wp:posOffset>
            </wp:positionH>
            <wp:positionV relativeFrom="paragraph">
              <wp:posOffset>32014</wp:posOffset>
            </wp:positionV>
            <wp:extent cx="457200" cy="457200"/>
            <wp:effectExtent l="0" t="0" r="0" b="0"/>
            <wp:wrapSquare wrapText="bothSides"/>
            <wp:docPr id="17" name="Picture 17"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CME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1552" behindDoc="0" locked="0" layoutInCell="1" allowOverlap="1">
            <wp:simplePos x="0" y="0"/>
            <wp:positionH relativeFrom="margin">
              <wp:posOffset>0</wp:posOffset>
            </wp:positionH>
            <wp:positionV relativeFrom="paragraph">
              <wp:posOffset>24501</wp:posOffset>
            </wp:positionV>
            <wp:extent cx="457200" cy="457200"/>
            <wp:effectExtent l="0" t="0" r="0" b="0"/>
            <wp:wrapSquare wrapText="bothSides"/>
            <wp:docPr id="18" name="Picture 18"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Self-Assessment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Other Healthcare Professionals</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Other healthcare professionals who participate in this activity may submit their statement of participation to their appropriate accrediting organizations or state boards for consideration of credit. Participants are responsible for determining whether this activity meets the requirements for acceptable continuing education.</w:t>
      </w:r>
    </w:p>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Disclosures:</w:t>
      </w:r>
    </w:p>
    <w:p w:rsidR="00373A01" w:rsidRPr="005F138D" w:rsidP="00373A01">
      <w:pPr>
        <w:spacing w:after="0" w:line="240" w:lineRule="auto"/>
        <w:rPr>
          <w:rFonts w:eastAsia="Times New Roman" w:cstheme="minorHAnsi"/>
          <w:sz w:val="20"/>
          <w:szCs w:val="20"/>
        </w:rPr>
      </w:pPr>
      <w:r w:rsidRPr="005F138D">
        <w:rPr>
          <w:rFonts w:eastAsia="Times New Roman" w:cstheme="minorHAnsi"/>
          <w:sz w:val="20"/>
          <w:szCs w:val="20"/>
        </w:rPr>
        <w:t>AdventHealth Orlando CME adheres to the ACCME&amp;rsquo;s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t>
      </w:r>
    </w:p>
    <w:p w:rsidR="00373A01" w:rsidRPr="005F138D" w:rsidP="00373A01">
      <w:pPr>
        <w:spacing w:after="0" w:line="240" w:lineRule="auto"/>
        <w:rPr>
          <w:rFonts w:eastAsia="Times New Roman" w:cstheme="minorHAnsi"/>
          <w:iCs/>
          <w:sz w:val="20"/>
          <w:szCs w:val="20"/>
        </w:rPr>
      </w:pPr>
    </w:p>
    <w:p w:rsidR="00373A01" w:rsidRPr="005F138D" w:rsidP="00373A01">
      <w:pPr>
        <w:spacing w:after="120" w:line="240" w:lineRule="auto"/>
        <w:rPr>
          <w:rFonts w:eastAsia="Times New Roman" w:cstheme="minorHAnsi"/>
          <w:iCs/>
          <w:sz w:val="20"/>
          <w:szCs w:val="20"/>
        </w:rPr>
      </w:pPr>
      <w:r w:rsidRPr="005F138D">
        <w:rPr>
          <w:rFonts w:eastAsia="Times New Roman" w:cstheme="minorHAnsi"/>
          <w:iCs/>
          <w:sz w:val="20"/>
          <w:szCs w:val="20"/>
        </w:rPr>
        <w:t>The planners and faculty of this series have disclosed the following financial relationship(s) with ineligible companies/commercial interests:</w:t>
      </w: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781"/>
        <w:gridCol w:w="2781"/>
        <w:gridCol w:w="3708"/>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Ariel F. Cole, MD, FAAFP, CMD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- 02/27/2024</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Robin C. Creamer, DO, FAAFP</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- 08/26/2024</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Robert M. Rodgers,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Co-Director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- 02/27/2024</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Dawn K. Seegobin, BS</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Activity Administrator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- 02/28/2024</w:t>
            </w:r>
          </w:p>
        </w:tc>
      </w:tr>
    </w:tbl>
    <w:p w:rsidR="00373A01" w:rsidRPr="005F138D">
      <w:pPr>
        <w:bidi w:val="0"/>
        <w:spacing w:after="280" w:afterAutospacing="1"/>
        <w:rPr>
          <w:rFonts w:eastAsia="Times New Roman" w:cstheme="minorHAnsi"/>
          <w:iCs/>
          <w:sz w:val="20"/>
          <w:szCs w:val="20"/>
        </w:rPr>
      </w:pPr>
    </w:p>
    <w:p w:rsidR="00F54A16" w:rsidRPr="005F138D">
      <w:pPr>
        <w:rPr>
          <w:rFonts w:cstheme="minorHAnsi"/>
        </w:rPr>
      </w:pPr>
    </w:p>
    <w:sectPr w:rsidSect="0064282E">
      <w:headerReference w:type="default" r:id="rId13"/>
      <w:footerReference w:type="default" r:id="rId14"/>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RPr="00D42503" w:rsidP="00D42503">
    <w:pPr>
      <w:rPr>
        <w:rFonts w:ascii="Calibri" w:hAnsi="Calibri" w:cs="Calibri"/>
        <w:color w:val="000000"/>
        <w:sz w:val="12"/>
      </w:rPr>
    </w:pPr>
    <w:r>
      <w:rPr>
        <w:rFonts w:ascii="Calibri" w:hAnsi="Calibri" w:cs="Calibri"/>
        <w:color w:val="000000"/>
        <w:sz w:val="12"/>
      </w:rPr>
      <w:t>AdventHealth</w:t>
    </w:r>
    <w:r>
      <w:rPr>
        <w:rFonts w:ascii="Calibri" w:hAnsi="Calibri" w:cs="Calibri"/>
        <w:color w:val="000000"/>
        <w:sz w:val="12"/>
      </w:rPr>
      <w:t xml:space="preserve"> Orlando</w:t>
    </w:r>
    <w:r w:rsidRPr="00A31FB2">
      <w:rPr>
        <w:rFonts w:ascii="Calibri" w:hAnsi="Calibri" w:cs="Calibri"/>
        <w:color w:val="000000"/>
        <w:sz w:val="12"/>
      </w:rPr>
      <w:t>. 202</w:t>
    </w:r>
    <w:r>
      <w:rPr>
        <w:rFonts w:ascii="Calibri" w:hAnsi="Calibri" w:cs="Calibri"/>
        <w:color w:val="000000"/>
        <w:sz w:val="12"/>
      </w:rPr>
      <w:t>3</w:t>
    </w:r>
    <w:r w:rsidRPr="00A31FB2">
      <w:rPr>
        <w:rFonts w:ascii="Calibri" w:hAnsi="Calibri" w:cs="Calibri"/>
        <w:color w:val="000000"/>
        <w:sz w:val="12"/>
      </w:rPr>
      <w:t xml:space="preserve">. All rights reserved. </w:t>
    </w:r>
    <w:r>
      <w:rPr>
        <w:rFonts w:ascii="Calibri" w:hAnsi="Calibri" w:cs="Calibri"/>
        <w:color w:val="000000"/>
        <w:sz w:val="12"/>
      </w:rPr>
      <w:t>06/272023</w:t>
    </w:r>
    <w:r w:rsidR="00373A01">
      <w:rPr>
        <w:noProof/>
      </w:rPr>
      <w:drawing>
        <wp:anchor distT="0" distB="0" distL="114300" distR="114300" simplePos="0" relativeHeight="251658240" behindDoc="0" locked="0" layoutInCell="1" allowOverlap="1">
          <wp:simplePos x="0" y="0"/>
          <wp:positionH relativeFrom="column">
            <wp:posOffset>5331853</wp:posOffset>
          </wp:positionH>
          <wp:positionV relativeFrom="line">
            <wp:align>center</wp:align>
          </wp:positionV>
          <wp:extent cx="1069848" cy="411480"/>
          <wp:effectExtent l="0" t="0" r="0" b="7620"/>
          <wp:wrapThrough wrapText="bothSides">
            <wp:wrapPolygon>
              <wp:start x="0" y="0"/>
              <wp:lineTo x="0" y="21000"/>
              <wp:lineTo x="21164" y="21000"/>
              <wp:lineTo x="21164" y="0"/>
              <wp:lineTo x="0" y="0"/>
            </wp:wrapPolygon>
          </wp:wrapThrough>
          <wp:docPr id="28" name="Picture 28"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font, logo, graphics&#10;&#10;Description automatically generated"/>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1069848" cy="41148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P="00612DD0">
    <w:pPr>
      <w:pStyle w:val="Header"/>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-1295400</wp:posOffset>
              </wp:positionH>
              <wp:positionV relativeFrom="paragraph">
                <wp:posOffset>-447675</wp:posOffset>
              </wp:positionV>
              <wp:extent cx="4610100" cy="933450"/>
              <wp:effectExtent l="0" t="0" r="57150" b="38100"/>
              <wp:wrapNone/>
              <wp:docPr id="19" name="Right Triangle 10"/>
              <wp:cNvGraphicFramePr/>
              <a:graphic xmlns:a="http://schemas.openxmlformats.org/drawingml/2006/main">
                <a:graphicData uri="http://schemas.microsoft.com/office/word/2010/wordprocessingShape">
                  <wps:wsp xmlns:wps="http://schemas.microsoft.com/office/word/2010/wordprocessingShape">
                    <wps:cNvSpPr/>
                    <wps:spPr>
                      <a:xfrm flipV="1">
                        <a:off x="0" y="0"/>
                        <a:ext cx="4610100" cy="933450"/>
                      </a:xfrm>
                      <a:prstGeom prst="rtTriangle">
                        <a:avLst/>
                      </a:prstGeom>
                      <a:solidFill>
                        <a:srgbClr val="81C342"/>
                      </a:solidFill>
                      <a:ln>
                        <a:solidFill>
                          <a:srgbClr val="81C3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0" o:spid="_x0000_s2049" type="#_x0000_t6" style="flip:y;height:73.5pt;margin-left:-102pt;margin-top:-35.25pt;mso-wrap-distance-bottom:0;mso-wrap-distance-left:9pt;mso-wrap-distance-right:9pt;mso-wrap-distance-top:0;mso-wrap-style:square;position:absolute;v-text-anchor:middle;visibility:visible;width:363pt;z-index:251660288" fillcolor="#81c342" strokecolor="#81c342" strokeweight="1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-1114425</wp:posOffset>
              </wp:positionH>
              <wp:positionV relativeFrom="paragraph">
                <wp:posOffset>-447675</wp:posOffset>
              </wp:positionV>
              <wp:extent cx="7953375" cy="933450"/>
              <wp:effectExtent l="38100" t="0" r="28575" b="38100"/>
              <wp:wrapNone/>
              <wp:docPr id="20" name="Right Triangle 11"/>
              <wp:cNvGraphicFramePr/>
              <a:graphic xmlns:a="http://schemas.openxmlformats.org/drawingml/2006/main">
                <a:graphicData uri="http://schemas.microsoft.com/office/word/2010/wordprocessingShape">
                  <wps:wsp xmlns:wps="http://schemas.microsoft.com/office/word/2010/wordprocessingShape">
                    <wps:cNvSpPr/>
                    <wps:spPr>
                      <a:xfrm flipH="1" flipV="1">
                        <a:off x="0" y="0"/>
                        <a:ext cx="7953375" cy="933450"/>
                      </a:xfrm>
                      <a:prstGeom prst="rtTriangle">
                        <a:avLst/>
                      </a:prstGeom>
                      <a:solidFill>
                        <a:srgbClr val="006298"/>
                      </a:solidFill>
                      <a:ln>
                        <a:solidFill>
                          <a:srgbClr val="0062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11" o:spid="_x0000_s2050" type="#_x0000_t6" style="flip:x y;height:73.5pt;margin-left:-87.75pt;margin-top:-35.25pt;mso-wrap-distance-bottom:0;mso-wrap-distance-left:9pt;mso-wrap-distance-right:9pt;mso-wrap-distance-top:0;mso-wrap-style:square;position:absolute;v-text-anchor:middle;visibility:visible;width:626.25pt;z-index:251662336" fillcolor="#006298" strokecolor="#0062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82109C0"/>
    <w:multiLevelType w:val="hybridMultilevel"/>
    <w:tmpl w:val="76B0E18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373A01"/>
    <w:rPr>
      <w:rFonts w:ascii="Times New Roman" w:eastAsia="Times New Roman" w:hAnsi="Times New Roman" w:cs="Times New Roman"/>
      <w:sz w:val="24"/>
      <w:szCs w:val="24"/>
    </w:rPr>
  </w:style>
  <w:style w:type="paragraph" w:styleId="Footer">
    <w:name w:val="footer"/>
    <w:basedOn w:val="Normal"/>
    <w:link w:val="FooterChar"/>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73A01"/>
    <w:rPr>
      <w:rFonts w:ascii="Times New Roman" w:eastAsia="Times New Roman" w:hAnsi="Times New Roman" w:cs="Times New Roman"/>
      <w:sz w:val="24"/>
      <w:szCs w:val="24"/>
    </w:rPr>
  </w:style>
  <w:style w:type="table" w:styleId="TableGrid">
    <w:name w:val="Table Grid"/>
    <w:basedOn w:val="TableNormal"/>
    <w:rsid w:val="00C23C7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3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jpeg" /></Relationships>
</file>

<file path=word/_rels/footer1.xml.rels>&#65279;<?xml version="1.0" encoding="utf-8" standalone="yes"?><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7E13F-EA20-6A45-9AE2-BE7388636D61}">
  <ds:schemaRefs>
    <ds:schemaRef ds:uri="http://schemas.openxmlformats.org/officeDocument/2006/bibliography"/>
  </ds:schemaRefs>
</ds:datastoreItem>
</file>

<file path=docMetadata/LabelInfo.xml><?xml version="1.0" encoding="utf-8"?>
<clbl:labelList xmlns:clbl="http://schemas.microsoft.com/office/2020/mipLabelMetadata">
  <clbl:label id="{be1b4fd9-5fce-4f73-b3dd-3005f9e18ec7}" enabled="0" method="" siteId="{be1b4fd9-5fce-4f73-b3dd-3005f9e18ec7}" removed="1"/>
</clbl:labelList>
</file>

<file path=docProps/app.xml><?xml version="1.0" encoding="utf-8"?>
<Properties xmlns="http://schemas.openxmlformats.org/officeDocument/2006/extended-properties" xmlns:vt="http://schemas.openxmlformats.org/officeDocument/2006/docPropsVTypes">
  <Template>Normal.dotm</Template>
  <TotalTime>17</TotalTime>
  <Pages>1</Pages>
  <Words>2219</Words>
  <Characters>15980</Characters>
  <Application>Microsoft Office Word</Application>
  <DocSecurity>0</DocSecurity>
  <Lines>409</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Provenza, Virginia</dc:creator>
  <cp:lastModifiedBy>Munk, Kory</cp:lastModifiedBy>
  <cp:revision>30</cp:revision>
  <dcterms:created xsi:type="dcterms:W3CDTF">2024-10-15T18:03:00Z</dcterms:created>
  <dcterms:modified xsi:type="dcterms:W3CDTF">2024-10-17T15:48:00Z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a9d3d8475ee131c641ef2594e5863ee0097e24b5508558100750eba4f7d2c98b</vt:lpwstr>
  </property>
</Properties>
</file>