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A10B51" w:rsidP="00A82C4C">
      <w:pPr>
        <w:rPr>
          <w:b/>
        </w:rPr>
      </w:pPr>
    </w:p>
    <w:p w:rsidR="00021AA1" w:rsidP="00A82C4C">
      <w:pPr>
        <w:rPr>
          <w:b/>
        </w:rPr>
      </w:pPr>
      <w:r>
        <w:rPr>
          <w:noProof/>
        </w:rPr>
        <w:drawing>
          <wp:inline distT="0" distB="0" distL="0" distR="0">
            <wp:extent cx="3724194" cy="1130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524" cy="11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4C" w:rsidRPr="00A10B51" w:rsidP="00A82C4C">
      <w:pPr>
        <w:rPr>
          <w:b/>
        </w:rPr>
      </w:pPr>
      <w:r w:rsidRPr="00A10B51">
        <w:rPr>
          <w:b/>
        </w:rPr>
        <w:fldChar w:fldCharType="begin"/>
      </w:r>
      <w:r w:rsidRPr="00A10B51">
        <w:rPr>
          <w:b/>
        </w:rPr>
        <w:instrText xml:space="preserve"> IF </w:instrText>
      </w:r>
      <w:r w:rsidRPr="00A10B51">
        <w:rPr>
          <w:b/>
          <w:noProof/>
        </w:rPr>
        <w:instrText>"</w:instrText>
      </w:r>
      <w:r w:rsidRPr="00A10B51">
        <w:rPr>
          <w:b/>
          <w:noProof/>
        </w:rPr>
        <w:instrText>Mayo Clinic</w:instrText>
      </w:r>
      <w:r w:rsidRPr="00A10B51">
        <w:rPr>
          <w:b/>
          <w:noProof/>
        </w:rPr>
        <w:instrText>"</w:instrText>
      </w:r>
      <w:r w:rsidRPr="00A10B51">
        <w:rPr>
          <w:b/>
        </w:rPr>
        <w:instrText xml:space="preserve"> &lt;&gt; "" "</w:instrText>
      </w:r>
      <w:r w:rsidRPr="00A10B51">
        <w:rPr>
          <w:b/>
          <w:noProof/>
        </w:rPr>
        <w:instrText>Mayo Clinic</w:instrText>
      </w:r>
      <w:r w:rsidRPr="00A10B51">
        <w:rPr>
          <w:b/>
        </w:rPr>
        <w:instrText>" "</w:instrText>
      </w:r>
      <w:r w:rsidRPr="00A10B51">
        <w:rPr>
          <w:b/>
        </w:rPr>
        <w:fldChar w:fldCharType="begin"/>
      </w:r>
      <w:r w:rsidRPr="00A10B51">
        <w:rPr>
          <w:b/>
        </w:rPr>
        <w:instrText xml:space="preserve"> MERGEFIELD Department \* MERGEFORMAT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instrText>«Department»</w:instrText>
      </w:r>
      <w:r w:rsidRPr="00A10B51">
        <w:rPr>
          <w:b/>
        </w:rPr>
        <w:fldChar w:fldCharType="end"/>
      </w:r>
      <w:r w:rsidRPr="00A10B51">
        <w:rPr>
          <w:b/>
        </w:rPr>
        <w:instrText xml:space="preserve">"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t>Mayo Clinic</w:t>
      </w:r>
      <w:r w:rsidRPr="00A10B51">
        <w:rPr>
          <w:b/>
        </w:rPr>
        <w:fldChar w:fldCharType="end"/>
      </w:r>
    </w:p>
    <w:p w:rsidR="00A82C4C" w:rsidRPr="00126439" w:rsidP="00A82C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Pr="00126439" w:rsidR="00051559">
        <w:rPr>
          <w:rFonts w:ascii="Arial" w:hAnsi="Arial" w:cs="Arial"/>
          <w:b/>
          <w:noProof/>
          <w:sz w:val="40"/>
          <w:szCs w:val="40"/>
        </w:rPr>
        <w:t>2019 12th</w:t>
      </w:r>
      <w:r w:rsidRPr="00126439" w:rsidR="00051559">
        <w:rPr>
          <w:rFonts w:ascii="Arial" w:hAnsi="Arial" w:cs="Arial"/>
          <w:b/>
          <w:sz w:val="40"/>
          <w:szCs w:val="40"/>
        </w:rPr>
        <w:t xml:space="preserve"> Annual International Multidisciplinary Transoral Surgery Course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Date: </w:t>
      </w:r>
      <w:r w:rsidR="00021AA1">
        <w:rPr>
          <w:rFonts w:ascii="Arial" w:hAnsi="Arial" w:cs="Arial"/>
          <w:noProof/>
        </w:rPr>
        <w:t>02/17</w:t>
      </w:r>
      <w:r w:rsidR="00021AA1">
        <w:rPr>
          <w:rFonts w:ascii="Arial" w:hAnsi="Arial" w:cs="Arial"/>
        </w:rPr>
        <w:t>/2019 07:00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Presenter: </w:t>
      </w:r>
      <w:r w:rsidR="00021AA1">
        <w:rPr>
          <w:rFonts w:ascii="Arial" w:hAnsi="Arial" w:cs="Arial"/>
          <w:noProof/>
        </w:rPr>
        <w:t>Ryan Jackson</w:t>
      </w:r>
      <w:r w:rsidR="00021AA1">
        <w:rPr>
          <w:rFonts w:ascii="Arial" w:hAnsi="Arial" w:cs="Arial"/>
        </w:rPr>
        <w:t>, MD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Title: 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br/>
      </w:r>
      <w:r>
        <w:rPr>
          <w:rtl w:val="0"/>
        </w:rPr>
        <w:t>This international course was created to review the changing trends in the treatment of HPV-related OPSCC, emphasizing minimally invasive transoral surgical approaches. With a strong practical focus, the course will include surgical and medical oriented lectures. Ten hours of cadaver dissection using both a transoral laser microscopic (TLM) technique and transoral robotic surgery (TORS) technique is available with hands-on faculty instruction.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Program Goal: </w:t>
      </w:r>
      <w:r>
        <w:rPr>
          <w:rFonts w:ascii="Arial" w:hAnsi="Arial" w:cs="Arial"/>
          <w:noProof/>
          <w:sz w:val="24"/>
          <w:szCs w:val="24"/>
        </w:rPr>
        <w:t>1 Indicate</w:t>
      </w:r>
      <w:r>
        <w:rPr>
          <w:rFonts w:ascii="Arial" w:hAnsi="Arial" w:cs="Arial"/>
          <w:noProof/>
          <w:sz w:val="24"/>
          <w:szCs w:val="24"/>
        </w:rPr>
        <w:t xml:space="preserve"> the factors that influenced the development of a new staging system for HPV-related oropharyngeal squamous cell carcinoma.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 Describe the impact of traditional risk factors for mortality from HPV-related oropharyngeal squamous cell carcinoma.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 Employ the various transoral surgical procedures utilized for the treatment of HPV-related oropharyngeal squamous cell carcinoma.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 Identify the patient best served with adjuvant treatment following surgery for HPV-related oropharyngeal squamous cell carcinoma.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 Discuss the complications associated with following treatment for HPV-related oropharyngeal squamous cell carcinoma.</w:t>
      </w:r>
    </w:p>
    <w:p w:rsidR="00126439"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Target Audience: </w:t>
      </w:r>
      <w:r>
        <w:rPr>
          <w:rFonts w:ascii="Arial" w:hAnsi="Arial" w:cs="Arial"/>
          <w:noProof/>
          <w:sz w:val="24"/>
          <w:szCs w:val="24"/>
        </w:rPr>
        <w:t xml:space="preserve">Otolaryngology </w:t>
      </w:r>
    </w:p>
    <w:p w:rsidR="00A82C4C" w:rsidRPr="00126439" w:rsidP="00A82C4C">
      <w:pPr>
        <w:rPr>
          <w:rFonts w:ascii="Arial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is accredited by the Florida Medical Association </w:t>
      </w:r>
      <w:r>
        <w:rPr>
          <w:rFonts w:ascii="Arial" w:hAnsi="Arial" w:cs="Arial"/>
          <w:sz w:val="20"/>
          <w:szCs w:val="20"/>
        </w:rPr>
        <w:t>(FMA)</w:t>
      </w:r>
      <w:r w:rsidRPr="00126439">
        <w:rPr>
          <w:rFonts w:ascii="Arial" w:hAnsi="Arial" w:cs="Arial"/>
          <w:sz w:val="20"/>
          <w:szCs w:val="20"/>
        </w:rPr>
        <w:t xml:space="preserve"> to provide continuing medical education for physicians.</w:t>
      </w:r>
    </w:p>
    <w:p w:rsidR="005112FC" w:rsidRPr="00126439" w:rsidP="005112FC">
      <w:pPr>
        <w:rPr>
          <w:rFonts w:ascii="Arial" w:eastAsia="Times New Roman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</w:t>
      </w:r>
      <w:r w:rsidRPr="0012643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  <w:sz w:val="20"/>
          <w:szCs w:val="20"/>
        </w:rPr>
        <w:t>22.25</w:t>
      </w:r>
      <w:r w:rsidRPr="00126439">
        <w:rPr>
          <w:rFonts w:ascii="Arial" w:hAnsi="Arial" w:cs="Arial"/>
          <w:sz w:val="20"/>
          <w:szCs w:val="20"/>
        </w:rPr>
        <w:t> </w:t>
      </w:r>
      <w:r w:rsidRPr="00126439">
        <w:rPr>
          <w:rFonts w:ascii="Arial" w:hAnsi="Arial" w:cs="Arial"/>
          <w:i/>
          <w:iCs/>
          <w:sz w:val="20"/>
          <w:szCs w:val="20"/>
        </w:rPr>
        <w:t>AMA PRA Category 1 Credit(s)</w:t>
      </w:r>
      <w:r w:rsidRPr="00126439">
        <w:rPr>
          <w:rFonts w:ascii="Arial" w:hAnsi="Arial" w:cs="Arial"/>
          <w:sz w:val="20"/>
          <w:szCs w:val="20"/>
          <w:vertAlign w:val="superscript"/>
        </w:rPr>
        <w:t>TM</w:t>
      </w:r>
      <w:r w:rsidRPr="00126439">
        <w:rPr>
          <w:rFonts w:ascii="Arial" w:hAnsi="Arial" w:cs="Arial"/>
          <w:sz w:val="20"/>
          <w:szCs w:val="20"/>
        </w:rPr>
        <w:t>. Physicians should only claim credit commensurate with the extent of their participation in the activity.</w:t>
      </w:r>
    </w:p>
    <w:p w:rsidR="00A82C4C" w:rsidRPr="00126439" w:rsidP="00A82C4C">
      <w:pPr>
        <w:rPr>
          <w:rFonts w:ascii="Arial" w:hAnsi="Arial" w:cs="Arial"/>
        </w:rPr>
      </w:pP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The planners, </w:t>
      </w:r>
      <w:r w:rsidRPr="00126439" w:rsidR="00A10B51">
        <w:rPr>
          <w:rFonts w:ascii="Arial" w:hAnsi="Arial" w:cs="Arial"/>
        </w:rPr>
        <w:t xml:space="preserve">moderators, or speakers of this </w:t>
      </w:r>
      <w:r w:rsidR="00126439">
        <w:rPr>
          <w:rFonts w:ascii="Arial" w:hAnsi="Arial" w:cs="Arial"/>
        </w:rPr>
        <w:t xml:space="preserve">activity </w:t>
      </w:r>
      <w:r w:rsidRPr="00126439" w:rsidR="00A10B51">
        <w:rPr>
          <w:rFonts w:ascii="Arial" w:hAnsi="Arial" w:cs="Arial"/>
        </w:rPr>
        <w:t>have the following financial relationship(s) with commercial interests to disclose: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Yaritza Aponte, 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Administrative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- 09/04/2018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Todd Larson, RN, BSN, MSIT, CNOR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Administrative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- 05/10/2018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Bruce H. Haughey, MD, MBChB, MS, FRACS,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- 11/01/2018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Hinni,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license agreement with Karl Storz-Karl Storz - 08/16/2018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Jeffery Magnuson, MD, FACS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Co-Course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- 09/04/2018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Asim Aijaz,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- 02/08/2019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Julia A. Crawford, MD, Physician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- 09/01/2018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Surender Kumar Dabas, MD, DBN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- 08/08/2018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Ryan Jackson,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- 08/17/2018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Terence M. Jones, MD, BSc, FRCSEd, FRCS (ORL-HNS), SFHEA, FASE (RCS), FAcadTM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- 08/28/2018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Se-Heon Kim,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- 09/24/2018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Luiz Kowalski, MD,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- 09/13/2018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Fawaz M. Makki, MD, MSc, FRCS(C)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- 09/14/2018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Tarek Mekhail, MD, MSc, FRCSI, FRCSEd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- 01/16/2019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Eric Moore, MD, MBA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- 09/20/2018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Samir H. Patel,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- 09/07/2018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Katharine Price,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- 09/13/2018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Harry Quon, MD, Physician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Ichiro Tateya, MD,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Speakers Bureau (e.g. prior honoraria, consulting fees, travel expenses, training expenses or provision of presentation materials and supplies)-Olympus, Intuitive Surgical - 09/14/2018</w:t>
            </w:r>
          </w:p>
        </w:tc>
      </w:tr>
    </w:tbl>
    <w:p w:rsidR="00A82C4C">
      <w:pPr>
        <w:bidi w:val="0"/>
        <w:spacing w:after="280" w:afterAutospacing="1"/>
        <w:rPr>
          <w:rFonts w:ascii="Arial" w:hAnsi="Arial" w:cs="Arial"/>
        </w:rPr>
      </w:pPr>
    </w:p>
    <w:p w:rsidR="00021AA1" w:rsidRPr="00312421" w:rsidP="00A82C4C"/>
    <w:p w:rsidR="00A10B51" w:rsidP="00A82C4C">
      <w:r>
        <w:fldChar w:fldCharType="begin"/>
      </w:r>
      <w:r>
        <w:instrText xml:space="preserve"> IF </w:instrText>
      </w:r>
      <w:r>
        <w:rPr>
          <w:noProof/>
        </w:rPr>
        <w:instrText>"</w:instrText>
      </w:r>
      <w:r>
        <w:rPr>
          <w:noProof/>
        </w:rPr>
        <w:instrText>In-Kind -</w:instrText>
      </w:r>
      <w:r w:rsidR="0084227B">
        <w:instrText xml:space="preserve"> Integra</w:instrText>
      </w:r>
    </w:p>
    <w:p w:rsidR="0084227B" w:rsidP="00A82C4C">
      <w:r>
        <w:instrText>Grant - Olympus</w:instrText>
      </w:r>
    </w:p>
    <w:p w:rsidR="0084227B" w:rsidP="00A82C4C">
      <w:r>
        <w:instrText>Grant - Karl Storz Endoscopy America Inc</w:instrText>
      </w:r>
    </w:p>
    <w:p w:rsidR="0084227B" w:rsidP="00A82C4C">
      <w:r>
        <w:instrText>Grant - OmniGuide</w:instrText>
      </w:r>
    </w:p>
    <w:p w:rsidR="0084227B" w:rsidP="00A82C4C">
      <w:r>
        <w:instrText>System generated reversal as part of an adjustment - OmniGuide</w:instrText>
      </w:r>
    </w:p>
    <w:p w:rsidR="0084227B" w:rsidP="00A82C4C">
      <w:r>
        <w:instrText>Grant - OmniGuide</w:instrText>
      </w:r>
    </w:p>
    <w:p w:rsidR="0084227B" w:rsidP="00A82C4C">
      <w:r>
        <w:instrText>System generated reversal as part of an adjustment - Olympus</w:instrText>
      </w:r>
    </w:p>
    <w:p w:rsidR="0084227B" w:rsidP="00A82C4C">
      <w:r>
        <w:instrText>Grant - Olympus</w:instrText>
      </w:r>
    </w:p>
    <w:p w:rsidR="00A10B51" w:rsidP="00A82C4C">
      <w:r w:rsidR="0084227B">
        <w:rPr>
          <w:noProof/>
        </w:rPr>
        <w:instrText>"</w:instrText>
      </w:r>
      <w:r>
        <w:instrText xml:space="preserve"> &lt;&gt; "" "This educational activity received the following commercial support:</w:instrText>
      </w:r>
    </w:p>
    <w:p w:rsidR="00A82C4C" w:rsidP="00A82C4C">
      <w:r w:rsidR="00A10B51">
        <w:rPr>
          <w:noProof/>
        </w:rPr>
        <w:instrText>In-Kind -</w:instrText>
      </w:r>
      <w:r>
        <w:rPr>
          <w:noProof/>
        </w:rPr>
        <w:instrText xml:space="preserve"> Integra</w:instrText>
      </w:r>
    </w:p>
    <w:p w:rsidP="00A82C4C">
      <w:pPr>
        <w:rPr>
          <w:noProof/>
        </w:rPr>
      </w:pPr>
      <w:r>
        <w:rPr>
          <w:noProof/>
        </w:rPr>
        <w:instrText>Grant - Olympus</w:instrText>
      </w:r>
    </w:p>
    <w:p w:rsidP="00A82C4C">
      <w:pPr>
        <w:rPr>
          <w:noProof/>
        </w:rPr>
      </w:pPr>
      <w:r>
        <w:rPr>
          <w:noProof/>
        </w:rPr>
        <w:instrText>Grant - Karl Storz Endoscopy America Inc</w:instrText>
      </w:r>
    </w:p>
    <w:p w:rsidP="00A82C4C">
      <w:pPr>
        <w:rPr>
          <w:noProof/>
        </w:rPr>
      </w:pPr>
      <w:r>
        <w:rPr>
          <w:noProof/>
        </w:rPr>
        <w:instrText>Grant - OmniGuide</w:instrText>
      </w:r>
    </w:p>
    <w:p w:rsidP="00A82C4C">
      <w:pPr>
        <w:rPr>
          <w:noProof/>
        </w:rPr>
      </w:pPr>
      <w:r>
        <w:rPr>
          <w:noProof/>
        </w:rPr>
        <w:instrText>System generated reversal as part of an adjustment - OmniGuide</w:instrText>
      </w:r>
    </w:p>
    <w:p w:rsidP="00A82C4C">
      <w:pPr>
        <w:rPr>
          <w:noProof/>
        </w:rPr>
      </w:pPr>
      <w:r>
        <w:rPr>
          <w:noProof/>
        </w:rPr>
        <w:instrText>Grant - OmniGuide</w:instrText>
      </w:r>
    </w:p>
    <w:p w:rsidP="00A82C4C">
      <w:pPr>
        <w:rPr>
          <w:noProof/>
        </w:rPr>
      </w:pPr>
      <w:r>
        <w:rPr>
          <w:noProof/>
        </w:rPr>
        <w:instrText>System generated reversal as part of an adjustment - Olympus</w:instrText>
      </w:r>
    </w:p>
    <w:p w:rsidP="00A82C4C">
      <w:pPr>
        <w:rPr>
          <w:noProof/>
        </w:rPr>
      </w:pPr>
      <w:r>
        <w:rPr>
          <w:noProof/>
        </w:rPr>
        <w:instrText>Grant - Olympus</w:instrText>
      </w:r>
    </w:p>
    <w:p w:rsidR="00A82C4C" w:rsidP="00A82C4C">
      <w:r w:rsidR="00A10B51">
        <w:instrText>" "</w:instrText>
      </w:r>
      <w:r w:rsidRPr="00A10B51" w:rsidR="00A10B51">
        <w:instrText xml:space="preserve"> </w:instrText>
      </w:r>
      <w:r w:rsidRPr="00312421" w:rsidR="00A10B51">
        <w:instrText>This educational activity received no commercial support.</w:instrText>
      </w:r>
      <w:r w:rsidR="00A10B51">
        <w:instrText xml:space="preserve">" </w:instrText>
      </w:r>
      <w:r w:rsidR="00A10B51">
        <w:fldChar w:fldCharType="separate"/>
      </w:r>
      <w:r>
        <w:t>This educational activity received the following commercial support:</w:t>
      </w:r>
    </w:p>
    <w:p w:rsidR="00A82C4C" w:rsidP="00A82C4C">
      <w:r w:rsidR="00A10B51">
        <w:rPr>
          <w:noProof/>
        </w:rPr>
        <w:t>In-Kind -</w:t>
      </w:r>
      <w:r>
        <w:rPr>
          <w:noProof/>
        </w:rPr>
        <w:t xml:space="preserve"> Integra</w:t>
      </w:r>
    </w:p>
    <w:p w:rsidP="00A82C4C">
      <w:pPr>
        <w:rPr>
          <w:noProof/>
        </w:rPr>
      </w:pPr>
      <w:r>
        <w:rPr>
          <w:noProof/>
        </w:rPr>
        <w:t>Grant - Olympus</w:t>
      </w:r>
    </w:p>
    <w:p w:rsidP="00A82C4C">
      <w:pPr>
        <w:rPr>
          <w:noProof/>
        </w:rPr>
      </w:pPr>
      <w:r>
        <w:rPr>
          <w:noProof/>
        </w:rPr>
        <w:t>Grant - Karl Storz Endoscopy America Inc</w:t>
      </w:r>
    </w:p>
    <w:p w:rsidP="00A82C4C">
      <w:pPr>
        <w:rPr>
          <w:noProof/>
        </w:rPr>
      </w:pPr>
      <w:r>
        <w:rPr>
          <w:noProof/>
        </w:rPr>
        <w:t>Grant - OmniGuide</w:t>
      </w:r>
    </w:p>
    <w:p w:rsidP="00A82C4C">
      <w:pPr>
        <w:rPr>
          <w:noProof/>
        </w:rPr>
      </w:pPr>
      <w:r>
        <w:rPr>
          <w:noProof/>
        </w:rPr>
        <w:t>System generated reversal as part of an adjustment - OmniGuide</w:t>
      </w:r>
    </w:p>
    <w:p w:rsidP="00A82C4C">
      <w:pPr>
        <w:rPr>
          <w:noProof/>
        </w:rPr>
      </w:pPr>
      <w:r>
        <w:rPr>
          <w:noProof/>
        </w:rPr>
        <w:t>Grant - OmniGuide</w:t>
      </w:r>
    </w:p>
    <w:p w:rsidP="00A82C4C">
      <w:pPr>
        <w:rPr>
          <w:noProof/>
        </w:rPr>
      </w:pPr>
      <w:r>
        <w:rPr>
          <w:noProof/>
        </w:rPr>
        <w:t>System generated reversal as part of an adjustment - Olympus</w:t>
      </w:r>
    </w:p>
    <w:p w:rsidP="00A82C4C">
      <w:pPr>
        <w:rPr>
          <w:noProof/>
        </w:rPr>
      </w:pPr>
      <w:r>
        <w:rPr>
          <w:noProof/>
        </w:rPr>
        <w:t>Grant - Olympus</w:t>
      </w:r>
    </w:p>
    <w:p w:rsidR="00A10B51" w:rsidP="00A82C4C">
      <w:r>
        <w:fldChar w:fldCharType="end"/>
      </w:r>
    </w:p>
    <w:p w:rsidR="00A82C4C" w:rsidP="00A82C4C">
      <w:pPr>
        <w:rPr>
          <w:i/>
          <w:sz w:val="16"/>
          <w:szCs w:val="16"/>
          <w:highlight w:val="yellow"/>
        </w:rPr>
      </w:pPr>
    </w:p>
    <w:p w:rsidR="00A82C4C" w:rsidP="00A82C4C"/>
    <w:p w:rsidR="00A82C4C" w:rsidP="00A82C4C"/>
    <w:p w:rsidR="00FA4AB4" w:rsidRPr="00A82C4C" w:rsidP="00A82C4C">
      <w:pPr>
        <w:spacing w:after="160" w:line="259" w:lineRule="auto"/>
        <w:rPr>
          <w:b/>
        </w:rPr>
      </w:pP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3A4B62"/>
    <w:pPr>
      <w:autoSpaceDE w:val="0"/>
      <w:autoSpaceDN w:val="0"/>
      <w:adjustRightInd w:val="0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FA4A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James Saylor</cp:lastModifiedBy>
  <cp:revision>2</cp:revision>
  <dcterms:created xsi:type="dcterms:W3CDTF">2021-02-10T19:55:00Z</dcterms:created>
  <dcterms:modified xsi:type="dcterms:W3CDTF">2021-02-10T19:55:00Z</dcterms:modified>
</cp:coreProperties>
</file>